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8D" w:rsidRPr="007E1431" w:rsidRDefault="001E488D" w:rsidP="001E488D">
      <w:pPr>
        <w:spacing w:after="0" w:line="360" w:lineRule="auto"/>
        <w:jc w:val="both"/>
        <w:rPr>
          <w:rFonts w:ascii="Palatino Linotype" w:hAnsi="Palatino Linotype"/>
          <w:b/>
          <w:sz w:val="23"/>
          <w:szCs w:val="23"/>
        </w:rPr>
      </w:pPr>
      <w:r w:rsidRPr="007E1431">
        <w:rPr>
          <w:rFonts w:ascii="Palatino Linotype" w:hAnsi="Palatino Linotype"/>
          <w:b/>
          <w:sz w:val="23"/>
          <w:szCs w:val="23"/>
        </w:rPr>
        <w:t xml:space="preserve">VOTO DISIDENTE QUE FORMULA EL COMISIONADO JAVIER MARTÍNEZ CRUZ, EN RELACIÓN CON LA RESOLUCIÓN DICTADA POR EL PLENO DEL INSTITUTO DE TRANSPARENCIA, ACCESO A LA INFORMACIÓN PÚBLICA Y PROTECCIÓN DE DATOS PERSONALES DEL ESTADO DE MÉXICO Y MUNICIPIOS, EN LA </w:t>
      </w:r>
      <w:r w:rsidR="00B240BB" w:rsidRPr="007E1431">
        <w:rPr>
          <w:rFonts w:ascii="Palatino Linotype" w:hAnsi="Palatino Linotype"/>
          <w:b/>
          <w:sz w:val="23"/>
          <w:szCs w:val="23"/>
        </w:rPr>
        <w:t>DÉC</w:t>
      </w:r>
      <w:r w:rsidRPr="007E1431">
        <w:rPr>
          <w:rFonts w:ascii="Palatino Linotype" w:hAnsi="Palatino Linotype"/>
          <w:b/>
          <w:sz w:val="23"/>
          <w:szCs w:val="23"/>
        </w:rPr>
        <w:t xml:space="preserve">IMA SESIÓN ORDINARIA DEL </w:t>
      </w:r>
      <w:r w:rsidR="00B240BB" w:rsidRPr="007E1431">
        <w:rPr>
          <w:rFonts w:ascii="Palatino Linotype" w:hAnsi="Palatino Linotype"/>
          <w:b/>
          <w:sz w:val="23"/>
          <w:szCs w:val="23"/>
        </w:rPr>
        <w:t xml:space="preserve">TRECE DE MARZO </w:t>
      </w:r>
      <w:r w:rsidRPr="007E1431">
        <w:rPr>
          <w:rFonts w:ascii="Palatino Linotype" w:hAnsi="Palatino Linotype"/>
          <w:b/>
          <w:sz w:val="23"/>
          <w:szCs w:val="23"/>
        </w:rPr>
        <w:t>DE DOS MIL DIECI</w:t>
      </w:r>
      <w:r w:rsidR="00B240BB" w:rsidRPr="007E1431">
        <w:rPr>
          <w:rFonts w:ascii="Palatino Linotype" w:hAnsi="Palatino Linotype"/>
          <w:b/>
          <w:sz w:val="23"/>
          <w:szCs w:val="23"/>
        </w:rPr>
        <w:t>NUEVE</w:t>
      </w:r>
      <w:r w:rsidRPr="007E1431">
        <w:rPr>
          <w:rFonts w:ascii="Palatino Linotype" w:hAnsi="Palatino Linotype"/>
          <w:b/>
          <w:sz w:val="23"/>
          <w:szCs w:val="23"/>
        </w:rPr>
        <w:t xml:space="preserve">, EN EL RECURSO DE </w:t>
      </w:r>
      <w:r w:rsidR="00B240BB" w:rsidRPr="007E1431">
        <w:rPr>
          <w:rFonts w:ascii="Palatino Linotype" w:hAnsi="Palatino Linotype"/>
          <w:b/>
          <w:sz w:val="23"/>
          <w:szCs w:val="23"/>
        </w:rPr>
        <w:t>REVISIÓN 00107/INFOEM/IP/RR/2019</w:t>
      </w:r>
      <w:r w:rsidRPr="007E1431">
        <w:rPr>
          <w:rFonts w:ascii="Palatino Linotype" w:hAnsi="Palatino Linotype"/>
          <w:b/>
          <w:sz w:val="23"/>
          <w:szCs w:val="23"/>
        </w:rPr>
        <w:t>.</w:t>
      </w:r>
    </w:p>
    <w:p w:rsidR="001E488D" w:rsidRPr="007E1431" w:rsidRDefault="001E488D" w:rsidP="001E488D">
      <w:pPr>
        <w:spacing w:after="0" w:line="240" w:lineRule="auto"/>
        <w:jc w:val="both"/>
        <w:rPr>
          <w:rFonts w:ascii="Palatino Linotype" w:hAnsi="Palatino Linotype"/>
          <w:b/>
          <w:sz w:val="23"/>
          <w:szCs w:val="23"/>
        </w:rPr>
      </w:pPr>
    </w:p>
    <w:p w:rsidR="001E488D" w:rsidRPr="007E1431" w:rsidRDefault="001E488D" w:rsidP="001E488D">
      <w:pPr>
        <w:spacing w:after="0" w:line="360" w:lineRule="auto"/>
        <w:jc w:val="both"/>
        <w:rPr>
          <w:rFonts w:ascii="Palatino Linotype" w:hAnsi="Palatino Linotype"/>
          <w:sz w:val="23"/>
          <w:szCs w:val="23"/>
        </w:rPr>
      </w:pPr>
      <w:r w:rsidRPr="007E1431">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7E1431">
        <w:rPr>
          <w:rFonts w:ascii="Palatino Linotype" w:hAnsi="Palatino Linotype"/>
          <w:b/>
          <w:sz w:val="23"/>
          <w:szCs w:val="23"/>
        </w:rPr>
        <w:t xml:space="preserve">VOTO DISIDENTE </w:t>
      </w:r>
      <w:r w:rsidRPr="007E1431">
        <w:rPr>
          <w:rFonts w:ascii="Palatino Linotype" w:hAnsi="Palatino Linotype"/>
          <w:sz w:val="23"/>
          <w:szCs w:val="23"/>
        </w:rPr>
        <w:t>respecto a la resolución dictada en el recurso de revisión número 0</w:t>
      </w:r>
      <w:r w:rsidR="00B240BB" w:rsidRPr="007E1431">
        <w:rPr>
          <w:rFonts w:ascii="Palatino Linotype" w:hAnsi="Palatino Linotype"/>
          <w:sz w:val="23"/>
          <w:szCs w:val="23"/>
        </w:rPr>
        <w:t>0107/INFOEM/IP/RR/2019</w:t>
      </w:r>
      <w:r w:rsidRPr="007E1431">
        <w:rPr>
          <w:rFonts w:ascii="Palatino Linotype" w:hAnsi="Palatino Linotype"/>
          <w:sz w:val="23"/>
          <w:szCs w:val="23"/>
        </w:rPr>
        <w:t xml:space="preserve">, pronunciada por el Pleno de este Instituto ante el proyecto presentado por la Comisionada Eva Abaid Yapur, que es del tenor siguiente: </w:t>
      </w:r>
    </w:p>
    <w:p w:rsidR="001E488D" w:rsidRPr="007E1431" w:rsidRDefault="001E488D" w:rsidP="001E488D">
      <w:pPr>
        <w:spacing w:after="0" w:line="240" w:lineRule="auto"/>
        <w:jc w:val="both"/>
        <w:rPr>
          <w:rFonts w:ascii="Palatino Linotype" w:hAnsi="Palatino Linotype"/>
          <w:sz w:val="23"/>
          <w:szCs w:val="23"/>
        </w:rPr>
      </w:pPr>
    </w:p>
    <w:p w:rsidR="00B240BB" w:rsidRPr="007E1431" w:rsidRDefault="001E488D" w:rsidP="001E488D">
      <w:pPr>
        <w:spacing w:after="0" w:line="360" w:lineRule="auto"/>
        <w:jc w:val="both"/>
        <w:rPr>
          <w:rFonts w:ascii="Palatino Linotype" w:hAnsi="Palatino Linotype"/>
          <w:sz w:val="23"/>
          <w:szCs w:val="23"/>
        </w:rPr>
      </w:pPr>
      <w:r w:rsidRPr="007E1431">
        <w:rPr>
          <w:rFonts w:ascii="Palatino Linotype" w:hAnsi="Palatino Linotype"/>
          <w:sz w:val="23"/>
          <w:szCs w:val="23"/>
        </w:rPr>
        <w:t>En primer término es de suma importancia mencionar qu</w:t>
      </w:r>
      <w:r w:rsidR="008D7EE6">
        <w:rPr>
          <w:rFonts w:ascii="Palatino Linotype" w:hAnsi="Palatino Linotype"/>
          <w:sz w:val="23"/>
          <w:szCs w:val="23"/>
        </w:rPr>
        <w:t xml:space="preserve">e el suscrito no coincide en el </w:t>
      </w:r>
      <w:r w:rsidRPr="007E1431">
        <w:rPr>
          <w:rFonts w:ascii="Palatino Linotype" w:hAnsi="Palatino Linotype"/>
          <w:sz w:val="23"/>
          <w:szCs w:val="23"/>
        </w:rPr>
        <w:t xml:space="preserve">sentido de la resolución del recurso de revisión al rubro indicado, lo anterior es así toda vez que no debe pasar desapercibido que en la resolución del asunto en comento, la Comisionada Ponente al momento de resolver determina </w:t>
      </w:r>
      <w:r w:rsidR="00B240BB" w:rsidRPr="007E1431">
        <w:rPr>
          <w:rFonts w:ascii="Palatino Linotype" w:hAnsi="Palatino Linotype"/>
          <w:sz w:val="23"/>
          <w:szCs w:val="23"/>
        </w:rPr>
        <w:t>lo siguiente:</w:t>
      </w:r>
    </w:p>
    <w:p w:rsidR="00B240BB" w:rsidRPr="007E1431" w:rsidRDefault="00B240BB" w:rsidP="001E488D">
      <w:pPr>
        <w:spacing w:after="0" w:line="360" w:lineRule="auto"/>
        <w:jc w:val="both"/>
        <w:rPr>
          <w:rFonts w:ascii="Palatino Linotype" w:hAnsi="Palatino Linotype"/>
          <w:sz w:val="23"/>
          <w:szCs w:val="23"/>
        </w:rPr>
      </w:pPr>
    </w:p>
    <w:p w:rsidR="00B240BB" w:rsidRPr="007E1431" w:rsidRDefault="00B240BB" w:rsidP="00B240BB">
      <w:pPr>
        <w:spacing w:after="0" w:line="240" w:lineRule="auto"/>
        <w:ind w:left="851" w:right="851"/>
        <w:jc w:val="both"/>
        <w:rPr>
          <w:rFonts w:ascii="Palatino Linotype" w:hAnsi="Palatino Linotype" w:cs="Arial"/>
          <w:i/>
          <w:sz w:val="21"/>
          <w:szCs w:val="21"/>
        </w:rPr>
      </w:pPr>
      <w:r w:rsidRPr="007E1431">
        <w:rPr>
          <w:rFonts w:ascii="Palatino Linotype" w:hAnsi="Palatino Linotype" w:cs="Arial"/>
          <w:b/>
          <w:bCs/>
          <w:i/>
          <w:sz w:val="21"/>
          <w:szCs w:val="21"/>
          <w:lang w:eastAsia="es-MX"/>
        </w:rPr>
        <w:t>PRIMERO</w:t>
      </w:r>
      <w:r w:rsidRPr="007E1431">
        <w:rPr>
          <w:rFonts w:ascii="Palatino Linotype" w:hAnsi="Palatino Linotype" w:cs="Arial"/>
          <w:i/>
          <w:sz w:val="21"/>
          <w:szCs w:val="21"/>
        </w:rPr>
        <w:t xml:space="preserve">. Resultan </w:t>
      </w:r>
      <w:r w:rsidRPr="007E1431">
        <w:rPr>
          <w:rFonts w:ascii="Palatino Linotype" w:hAnsi="Palatino Linotype" w:cs="Arial"/>
          <w:b/>
          <w:i/>
          <w:sz w:val="21"/>
          <w:szCs w:val="21"/>
          <w:u w:val="single"/>
        </w:rPr>
        <w:t>parcialmente fundadas</w:t>
      </w:r>
      <w:r w:rsidRPr="007E1431">
        <w:rPr>
          <w:rFonts w:ascii="Palatino Linotype" w:hAnsi="Palatino Linotype" w:cs="Arial"/>
          <w:i/>
          <w:sz w:val="21"/>
          <w:szCs w:val="21"/>
        </w:rPr>
        <w:t xml:space="preserve"> las razones o motivos de inconformidad planteadas por </w:t>
      </w:r>
      <w:r w:rsidRPr="007E1431">
        <w:rPr>
          <w:rFonts w:ascii="Palatino Linotype" w:hAnsi="Palatino Linotype" w:cs="Arial"/>
          <w:b/>
          <w:i/>
          <w:sz w:val="21"/>
          <w:szCs w:val="21"/>
        </w:rPr>
        <w:t>LA RECURRENTE</w:t>
      </w:r>
      <w:r w:rsidRPr="007E1431">
        <w:rPr>
          <w:rFonts w:ascii="Palatino Linotype" w:hAnsi="Palatino Linotype" w:cs="Arial"/>
          <w:i/>
          <w:sz w:val="21"/>
          <w:szCs w:val="21"/>
        </w:rPr>
        <w:t xml:space="preserve"> en términos del Considerando </w:t>
      </w:r>
      <w:r w:rsidRPr="007E1431">
        <w:rPr>
          <w:rFonts w:ascii="Palatino Linotype" w:hAnsi="Palatino Linotype" w:cs="Arial"/>
          <w:b/>
          <w:i/>
          <w:sz w:val="21"/>
          <w:szCs w:val="21"/>
        </w:rPr>
        <w:t xml:space="preserve">QUINTO </w:t>
      </w:r>
      <w:r w:rsidRPr="007E1431">
        <w:rPr>
          <w:rFonts w:ascii="Palatino Linotype" w:hAnsi="Palatino Linotype" w:cs="Arial"/>
          <w:i/>
          <w:sz w:val="21"/>
          <w:szCs w:val="21"/>
        </w:rPr>
        <w:t>de esta Resolución.</w:t>
      </w:r>
    </w:p>
    <w:p w:rsidR="00B240BB" w:rsidRPr="007E1431" w:rsidRDefault="00B240BB" w:rsidP="00B240BB">
      <w:pPr>
        <w:spacing w:after="0" w:line="240" w:lineRule="auto"/>
        <w:ind w:left="851" w:right="851"/>
        <w:jc w:val="both"/>
        <w:rPr>
          <w:rFonts w:ascii="Palatino Linotype" w:hAnsi="Palatino Linotype" w:cs="Arial"/>
          <w:i/>
          <w:sz w:val="21"/>
          <w:szCs w:val="21"/>
        </w:rPr>
      </w:pPr>
    </w:p>
    <w:p w:rsidR="00B240BB" w:rsidRPr="007E1431" w:rsidRDefault="00B240BB" w:rsidP="00B240BB">
      <w:pPr>
        <w:spacing w:after="0" w:line="240" w:lineRule="auto"/>
        <w:ind w:left="851" w:right="851"/>
        <w:jc w:val="both"/>
        <w:rPr>
          <w:rFonts w:ascii="Palatino Linotype" w:hAnsi="Palatino Linotype" w:cs="Arial"/>
          <w:i/>
          <w:sz w:val="21"/>
          <w:szCs w:val="21"/>
        </w:rPr>
      </w:pPr>
      <w:r w:rsidRPr="007E1431">
        <w:rPr>
          <w:rFonts w:ascii="Palatino Linotype" w:hAnsi="Palatino Linotype" w:cs="Arial"/>
          <w:b/>
          <w:bCs/>
          <w:i/>
          <w:sz w:val="21"/>
          <w:szCs w:val="21"/>
          <w:lang w:eastAsia="es-MX"/>
        </w:rPr>
        <w:lastRenderedPageBreak/>
        <w:t>SEGUNDO</w:t>
      </w:r>
      <w:r w:rsidRPr="007E1431">
        <w:rPr>
          <w:rFonts w:ascii="Palatino Linotype" w:eastAsia="Calibri" w:hAnsi="Palatino Linotype" w:cs="Arial"/>
          <w:b/>
          <w:bCs/>
          <w:i/>
          <w:sz w:val="21"/>
          <w:szCs w:val="21"/>
        </w:rPr>
        <w:t xml:space="preserve">. </w:t>
      </w:r>
      <w:r w:rsidRPr="007E1431">
        <w:rPr>
          <w:rFonts w:ascii="Palatino Linotype" w:eastAsia="Calibri" w:hAnsi="Palatino Linotype" w:cs="Arial"/>
          <w:bCs/>
          <w:i/>
          <w:sz w:val="21"/>
          <w:szCs w:val="21"/>
        </w:rPr>
        <w:t>Se</w:t>
      </w:r>
      <w:r w:rsidRPr="007E1431">
        <w:rPr>
          <w:rFonts w:ascii="Palatino Linotype" w:eastAsia="Calibri" w:hAnsi="Palatino Linotype" w:cs="Arial"/>
          <w:b/>
          <w:bCs/>
          <w:i/>
          <w:sz w:val="21"/>
          <w:szCs w:val="21"/>
        </w:rPr>
        <w:t xml:space="preserve"> </w:t>
      </w:r>
      <w:r w:rsidRPr="007E1431">
        <w:rPr>
          <w:rFonts w:ascii="Palatino Linotype" w:eastAsia="Calibri" w:hAnsi="Palatino Linotype" w:cs="Arial"/>
          <w:b/>
          <w:i/>
          <w:sz w:val="21"/>
          <w:szCs w:val="21"/>
        </w:rPr>
        <w:t xml:space="preserve">ORDENA </w:t>
      </w:r>
      <w:r w:rsidRPr="007E1431">
        <w:rPr>
          <w:rFonts w:ascii="Palatino Linotype" w:eastAsia="Calibri" w:hAnsi="Palatino Linotype" w:cs="Arial"/>
          <w:i/>
          <w:sz w:val="21"/>
          <w:szCs w:val="21"/>
        </w:rPr>
        <w:t xml:space="preserve">al </w:t>
      </w:r>
      <w:r w:rsidRPr="007E1431">
        <w:rPr>
          <w:rFonts w:ascii="Palatino Linotype" w:eastAsia="Calibri" w:hAnsi="Palatino Linotype" w:cs="Arial"/>
          <w:b/>
          <w:i/>
          <w:sz w:val="21"/>
          <w:szCs w:val="21"/>
        </w:rPr>
        <w:t xml:space="preserve">SUJETO OBLIGADO </w:t>
      </w:r>
      <w:r w:rsidRPr="007E1431">
        <w:rPr>
          <w:rFonts w:ascii="Palatino Linotype" w:eastAsia="Calibri" w:hAnsi="Palatino Linotype" w:cs="Arial"/>
          <w:i/>
          <w:sz w:val="21"/>
          <w:szCs w:val="21"/>
        </w:rPr>
        <w:t xml:space="preserve">atienda la solicitud de información </w:t>
      </w:r>
      <w:r w:rsidRPr="007E1431">
        <w:rPr>
          <w:rFonts w:ascii="Palatino Linotype" w:eastAsia="Calibri" w:hAnsi="Palatino Linotype" w:cs="Arial"/>
          <w:b/>
          <w:i/>
          <w:sz w:val="21"/>
          <w:szCs w:val="21"/>
        </w:rPr>
        <w:t>00034/ATASCECYTE/IP/2018</w:t>
      </w:r>
      <w:r w:rsidRPr="007E1431">
        <w:rPr>
          <w:rFonts w:ascii="Palatino Linotype" w:hAnsi="Palatino Linotype" w:cs="Arial"/>
          <w:i/>
          <w:sz w:val="21"/>
          <w:szCs w:val="21"/>
        </w:rPr>
        <w:t xml:space="preserve">, en </w:t>
      </w:r>
      <w:r w:rsidRPr="007E1431">
        <w:rPr>
          <w:rFonts w:ascii="Palatino Linotype" w:hAnsi="Palatino Linotype" w:cs="Arial"/>
          <w:b/>
          <w:i/>
          <w:sz w:val="21"/>
          <w:szCs w:val="21"/>
        </w:rPr>
        <w:t>términos</w:t>
      </w:r>
      <w:r w:rsidRPr="007E1431">
        <w:rPr>
          <w:rFonts w:ascii="Palatino Linotype" w:hAnsi="Palatino Linotype" w:cs="Arial"/>
          <w:i/>
          <w:sz w:val="21"/>
          <w:szCs w:val="21"/>
        </w:rPr>
        <w:t xml:space="preserve"> del Considerando </w:t>
      </w:r>
      <w:r w:rsidRPr="007E1431">
        <w:rPr>
          <w:rFonts w:ascii="Palatino Linotype" w:hAnsi="Palatino Linotype" w:cs="Arial"/>
          <w:b/>
          <w:i/>
          <w:sz w:val="21"/>
          <w:szCs w:val="21"/>
        </w:rPr>
        <w:t>QUINTO</w:t>
      </w:r>
      <w:r w:rsidRPr="007E1431">
        <w:rPr>
          <w:rFonts w:ascii="Palatino Linotype" w:hAnsi="Palatino Linotype" w:cs="Arial"/>
          <w:i/>
          <w:sz w:val="21"/>
          <w:szCs w:val="21"/>
        </w:rPr>
        <w:t xml:space="preserve"> y, haga entrega a </w:t>
      </w:r>
      <w:r w:rsidRPr="007E1431">
        <w:rPr>
          <w:rFonts w:ascii="Palatino Linotype" w:hAnsi="Palatino Linotype" w:cs="Arial"/>
          <w:b/>
          <w:i/>
          <w:sz w:val="21"/>
          <w:szCs w:val="21"/>
        </w:rPr>
        <w:t>LA</w:t>
      </w:r>
      <w:r w:rsidRPr="007E1431">
        <w:rPr>
          <w:rFonts w:ascii="Palatino Linotype" w:hAnsi="Palatino Linotype" w:cs="Arial"/>
          <w:i/>
          <w:sz w:val="21"/>
          <w:szCs w:val="21"/>
        </w:rPr>
        <w:t xml:space="preserve"> </w:t>
      </w:r>
      <w:r w:rsidRPr="007E1431">
        <w:rPr>
          <w:rFonts w:ascii="Palatino Linotype" w:hAnsi="Palatino Linotype" w:cs="Arial"/>
          <w:b/>
          <w:i/>
          <w:sz w:val="21"/>
          <w:szCs w:val="21"/>
        </w:rPr>
        <w:t>RECURRENTE</w:t>
      </w:r>
      <w:r w:rsidRPr="007E1431">
        <w:rPr>
          <w:rFonts w:ascii="Palatino Linotype" w:hAnsi="Palatino Linotype" w:cs="Arial"/>
          <w:i/>
          <w:sz w:val="21"/>
          <w:szCs w:val="21"/>
        </w:rPr>
        <w:t xml:space="preserve">, vía </w:t>
      </w:r>
      <w:r w:rsidRPr="007E1431">
        <w:rPr>
          <w:rFonts w:ascii="Palatino Linotype" w:hAnsi="Palatino Linotype" w:cs="Arial"/>
          <w:b/>
          <w:i/>
          <w:sz w:val="21"/>
          <w:szCs w:val="21"/>
        </w:rPr>
        <w:t xml:space="preserve">SAIMEX, </w:t>
      </w:r>
      <w:r w:rsidRPr="007E1431">
        <w:rPr>
          <w:rFonts w:ascii="Palatino Linotype" w:hAnsi="Palatino Linotype" w:cs="Arial"/>
          <w:i/>
          <w:sz w:val="21"/>
          <w:szCs w:val="21"/>
        </w:rPr>
        <w:t>lo siguiente</w:t>
      </w:r>
      <w:r w:rsidRPr="007E1431">
        <w:rPr>
          <w:rFonts w:ascii="Palatino Linotype" w:hAnsi="Palatino Linotype"/>
          <w:i/>
          <w:sz w:val="21"/>
          <w:szCs w:val="21"/>
          <w:shd w:val="clear" w:color="auto" w:fill="FFFFFF"/>
        </w:rPr>
        <w:t>:</w:t>
      </w:r>
    </w:p>
    <w:p w:rsidR="00B240BB" w:rsidRPr="007E1431" w:rsidRDefault="00B240BB" w:rsidP="00B240BB">
      <w:pPr>
        <w:spacing w:after="0" w:line="240" w:lineRule="auto"/>
        <w:ind w:left="851" w:right="851"/>
        <w:jc w:val="both"/>
        <w:rPr>
          <w:rFonts w:ascii="Palatino Linotype" w:eastAsia="Calibri" w:hAnsi="Palatino Linotype" w:cs="Arial"/>
          <w:b/>
          <w:bCs/>
          <w:i/>
          <w:sz w:val="21"/>
          <w:szCs w:val="21"/>
        </w:rPr>
      </w:pPr>
    </w:p>
    <w:p w:rsidR="00B240BB" w:rsidRPr="007E1431" w:rsidRDefault="00B240BB" w:rsidP="00B240BB">
      <w:pPr>
        <w:pStyle w:val="Prrafodelista"/>
        <w:ind w:left="851" w:right="851" w:hanging="142"/>
        <w:jc w:val="both"/>
        <w:rPr>
          <w:rFonts w:ascii="Palatino Linotype" w:hAnsi="Palatino Linotype"/>
          <w:i/>
          <w:sz w:val="21"/>
          <w:szCs w:val="21"/>
        </w:rPr>
      </w:pPr>
      <w:r w:rsidRPr="007E1431">
        <w:rPr>
          <w:rFonts w:ascii="Palatino Linotype" w:hAnsi="Palatino Linotype" w:cs="Arial"/>
          <w:i/>
          <w:sz w:val="21"/>
          <w:szCs w:val="21"/>
          <w:lang w:eastAsia="es-MX"/>
        </w:rPr>
        <w:t>“</w:t>
      </w:r>
      <w:r w:rsidRPr="007E1431">
        <w:rPr>
          <w:rFonts w:ascii="Palatino Linotype" w:hAnsi="Palatino Linotype"/>
          <w:b/>
          <w:i/>
          <w:sz w:val="21"/>
          <w:szCs w:val="21"/>
          <w:u w:val="single"/>
        </w:rPr>
        <w:t>El Acuerdo de Clasificación aprobado por el Comité de Transparencia</w:t>
      </w:r>
      <w:r w:rsidRPr="007E1431">
        <w:rPr>
          <w:rFonts w:ascii="Palatino Linotype" w:hAnsi="Palatino Linotype"/>
          <w:i/>
          <w:sz w:val="21"/>
          <w:szCs w:val="21"/>
        </w:rPr>
        <w:t xml:space="preserve"> respecto de los documentos donde consten las mesas de trabajo permanentes, llevadas a cabo para resolver problemas y proponer mejoras; así como los emplazamientos, los motivos y las fechas de las huelgas realizadas por </w:t>
      </w:r>
      <w:r w:rsidRPr="007E1431">
        <w:rPr>
          <w:rFonts w:ascii="Palatino Linotype" w:hAnsi="Palatino Linotype"/>
          <w:b/>
          <w:i/>
          <w:sz w:val="21"/>
          <w:szCs w:val="21"/>
        </w:rPr>
        <w:t>EL SUJETO OBLIGADO</w:t>
      </w:r>
      <w:r w:rsidRPr="007E1431">
        <w:rPr>
          <w:rFonts w:ascii="Palatino Linotype" w:hAnsi="Palatino Linotype"/>
          <w:i/>
          <w:sz w:val="21"/>
          <w:szCs w:val="21"/>
        </w:rPr>
        <w:t>, en términos de los artículos 122 y 143 de la Ley de Transparencia y Acceso a la Información Pública del Estado de México y Municipios.</w:t>
      </w:r>
    </w:p>
    <w:p w:rsidR="00B240BB" w:rsidRPr="007E1431" w:rsidRDefault="00B240BB" w:rsidP="00B240BB">
      <w:pPr>
        <w:spacing w:after="0" w:line="240" w:lineRule="auto"/>
        <w:ind w:left="851" w:right="851"/>
        <w:jc w:val="both"/>
        <w:rPr>
          <w:rFonts w:ascii="Palatino Linotype" w:hAnsi="Palatino Linotype"/>
          <w:i/>
          <w:sz w:val="21"/>
          <w:szCs w:val="21"/>
        </w:rPr>
      </w:pPr>
    </w:p>
    <w:p w:rsidR="00B240BB" w:rsidRPr="007E1431" w:rsidRDefault="00B240BB" w:rsidP="00B240BB">
      <w:pPr>
        <w:spacing w:after="0" w:line="240" w:lineRule="auto"/>
        <w:ind w:left="851" w:right="851"/>
        <w:jc w:val="both"/>
        <w:rPr>
          <w:rFonts w:ascii="Palatino Linotype" w:hAnsi="Palatino Linotype"/>
          <w:i/>
          <w:sz w:val="21"/>
          <w:szCs w:val="21"/>
        </w:rPr>
      </w:pPr>
      <w:r w:rsidRPr="007E1431">
        <w:rPr>
          <w:rFonts w:ascii="Palatino Linotype" w:hAnsi="Palatino Linotype"/>
          <w:i/>
          <w:sz w:val="21"/>
          <w:szCs w:val="21"/>
        </w:rPr>
        <w:t xml:space="preserve">Para el caso de que no haya generado la información de la que se ordena su clasificación, bastará que así lo haga del conocimiento de </w:t>
      </w:r>
      <w:r w:rsidRPr="007E1431">
        <w:rPr>
          <w:rFonts w:ascii="Palatino Linotype" w:hAnsi="Palatino Linotype"/>
          <w:b/>
          <w:i/>
          <w:sz w:val="21"/>
          <w:szCs w:val="21"/>
        </w:rPr>
        <w:t>LA RECURRENTE</w:t>
      </w:r>
      <w:r w:rsidRPr="007E1431">
        <w:rPr>
          <w:rFonts w:ascii="Palatino Linotype" w:hAnsi="Palatino Linotype"/>
          <w:i/>
          <w:sz w:val="21"/>
          <w:szCs w:val="21"/>
        </w:rPr>
        <w:t>.”</w:t>
      </w:r>
    </w:p>
    <w:p w:rsidR="00B240BB" w:rsidRPr="007E1431" w:rsidRDefault="00B240BB" w:rsidP="00B240BB">
      <w:pPr>
        <w:spacing w:after="0" w:line="240" w:lineRule="auto"/>
        <w:ind w:left="851" w:right="851"/>
        <w:jc w:val="both"/>
        <w:rPr>
          <w:rFonts w:ascii="Palatino Linotype" w:hAnsi="Palatino Linotype"/>
          <w:i/>
          <w:sz w:val="21"/>
          <w:szCs w:val="21"/>
        </w:rPr>
      </w:pPr>
    </w:p>
    <w:p w:rsidR="00B240BB" w:rsidRPr="007E1431" w:rsidRDefault="00B240BB" w:rsidP="00B240BB">
      <w:pPr>
        <w:spacing w:after="0" w:line="240" w:lineRule="auto"/>
        <w:ind w:left="851" w:right="851"/>
        <w:jc w:val="both"/>
        <w:rPr>
          <w:rFonts w:ascii="Palatino Linotype" w:hAnsi="Palatino Linotype"/>
          <w:i/>
          <w:sz w:val="21"/>
          <w:szCs w:val="21"/>
        </w:rPr>
      </w:pPr>
      <w:r w:rsidRPr="007E1431">
        <w:rPr>
          <w:rFonts w:ascii="Palatino Linotype" w:hAnsi="Palatino Linotype"/>
          <w:i/>
          <w:sz w:val="21"/>
          <w:szCs w:val="21"/>
        </w:rPr>
        <w:t>Énfasis añadido.</w:t>
      </w:r>
    </w:p>
    <w:p w:rsidR="00B240BB" w:rsidRPr="007E1431" w:rsidRDefault="00B240BB" w:rsidP="001E488D">
      <w:pPr>
        <w:spacing w:after="0" w:line="360" w:lineRule="auto"/>
        <w:jc w:val="both"/>
        <w:rPr>
          <w:rFonts w:ascii="Palatino Linotype" w:hAnsi="Palatino Linotype"/>
          <w:sz w:val="23"/>
          <w:szCs w:val="23"/>
        </w:rPr>
      </w:pPr>
      <w:bookmarkStart w:id="0" w:name="_GoBack"/>
      <w:bookmarkEnd w:id="0"/>
    </w:p>
    <w:p w:rsidR="00B240BB" w:rsidRPr="007E1431" w:rsidRDefault="00B240BB" w:rsidP="001E488D">
      <w:pPr>
        <w:spacing w:after="0" w:line="360" w:lineRule="auto"/>
        <w:jc w:val="both"/>
        <w:rPr>
          <w:rFonts w:ascii="Palatino Linotype" w:hAnsi="Palatino Linotype"/>
          <w:sz w:val="23"/>
          <w:szCs w:val="23"/>
        </w:rPr>
      </w:pPr>
      <w:r w:rsidRPr="007E1431">
        <w:rPr>
          <w:rFonts w:ascii="Palatino Linotype" w:hAnsi="Palatino Linotype"/>
          <w:sz w:val="23"/>
          <w:szCs w:val="23"/>
        </w:rPr>
        <w:t>De lo citado anteriormente, en un primer momento se advierte que los motivos de inconformidad los calificaron como parcialmente fundados, sin embargo a consideración del suscrito los motivos de inconformidad debieron ser clasificados como fundados en virtud de que no se debe perder vista que el impetrante al momento de interponer el recurso de revisión materia del presente voto como motivos de inconformidad refirió:”</w:t>
      </w:r>
      <w:r w:rsidR="0073126B" w:rsidRPr="007E1431">
        <w:rPr>
          <w:rFonts w:ascii="Palatino Linotype" w:hAnsi="Palatino Linotype" w:cs="Arial"/>
          <w:i/>
          <w:sz w:val="23"/>
          <w:szCs w:val="23"/>
        </w:rPr>
        <w:t xml:space="preserve"> No se me otorgó la debida respuesta en tiempo y forma por parte del sujeto obligado</w:t>
      </w:r>
      <w:r w:rsidRPr="007E1431">
        <w:rPr>
          <w:rFonts w:ascii="Palatino Linotype" w:hAnsi="Palatino Linotype"/>
          <w:sz w:val="23"/>
          <w:szCs w:val="23"/>
        </w:rPr>
        <w:t>”</w:t>
      </w:r>
      <w:r w:rsidR="0073126B" w:rsidRPr="007E1431">
        <w:rPr>
          <w:rFonts w:ascii="Palatino Linotype" w:hAnsi="Palatino Linotype"/>
          <w:sz w:val="23"/>
          <w:szCs w:val="23"/>
        </w:rPr>
        <w:t>, aunado a ello del análisis realizado a las constancias que integran el recurso de revisión al rubro indicado, no se advierte que el Sujeto Obligado hubiese proporcionado parte de la información que requiere.</w:t>
      </w:r>
    </w:p>
    <w:p w:rsidR="00B240BB" w:rsidRPr="007E1431" w:rsidRDefault="00B240BB" w:rsidP="001E488D">
      <w:pPr>
        <w:spacing w:after="0" w:line="360" w:lineRule="auto"/>
        <w:jc w:val="both"/>
        <w:rPr>
          <w:rFonts w:ascii="Palatino Linotype" w:hAnsi="Palatino Linotype"/>
          <w:sz w:val="23"/>
          <w:szCs w:val="23"/>
        </w:rPr>
      </w:pPr>
    </w:p>
    <w:p w:rsidR="00B240BB" w:rsidRPr="007E1431" w:rsidRDefault="00B240BB" w:rsidP="001E488D">
      <w:pPr>
        <w:spacing w:after="0" w:line="360" w:lineRule="auto"/>
        <w:jc w:val="both"/>
        <w:rPr>
          <w:rFonts w:ascii="Palatino Linotype" w:hAnsi="Palatino Linotype"/>
          <w:sz w:val="23"/>
          <w:szCs w:val="23"/>
        </w:rPr>
      </w:pPr>
    </w:p>
    <w:p w:rsidR="0073126B" w:rsidRPr="007E1431" w:rsidRDefault="0073126B" w:rsidP="0073126B">
      <w:pPr>
        <w:spacing w:line="360" w:lineRule="auto"/>
        <w:jc w:val="both"/>
        <w:rPr>
          <w:rFonts w:ascii="Palatino Linotype" w:eastAsia="Arial Unicode MS" w:hAnsi="Palatino Linotype" w:cs="Arial"/>
          <w:sz w:val="23"/>
          <w:szCs w:val="23"/>
        </w:rPr>
      </w:pPr>
      <w:r w:rsidRPr="007E1431">
        <w:rPr>
          <w:rFonts w:ascii="Palatino Linotype" w:hAnsi="Palatino Linotype"/>
          <w:sz w:val="23"/>
          <w:szCs w:val="23"/>
        </w:rPr>
        <w:lastRenderedPageBreak/>
        <w:t xml:space="preserve">Por otra parte, cabe agregar que si bien es cierto la Comisionada Ponente una vez substanciado el recurso de revisión arribo a la determinación de ordenar al Sujeto Obligado que emitiera el Acuerdo que clasificara como confidencial la información requerida por el impetrante al argumentar que las </w:t>
      </w:r>
      <w:r w:rsidRPr="007E1431">
        <w:rPr>
          <w:rFonts w:ascii="Palatino Linotype" w:eastAsia="Arial Unicode MS" w:hAnsi="Palatino Linotype" w:cs="Arial"/>
          <w:sz w:val="23"/>
          <w:szCs w:val="23"/>
          <w:lang w:val="es-ES_tradnl"/>
        </w:rPr>
        <w:t xml:space="preserve">mesas de trabajo, </w:t>
      </w:r>
      <w:r w:rsidRPr="007E1431">
        <w:rPr>
          <w:rFonts w:ascii="Palatino Linotype" w:eastAsia="Arial Unicode MS" w:hAnsi="Palatino Linotype" w:cs="Arial"/>
          <w:sz w:val="23"/>
          <w:szCs w:val="23"/>
        </w:rPr>
        <w:t xml:space="preserve">estrategias o acuerdos internos que van encaminados al mejoramiento y defensa de sus intereses y las huelgas </w:t>
      </w:r>
      <w:r w:rsidRPr="007E1431">
        <w:rPr>
          <w:rFonts w:ascii="Palatino Linotype" w:eastAsia="Arial Unicode MS" w:hAnsi="Palatino Linotype" w:cs="Arial"/>
          <w:sz w:val="23"/>
          <w:szCs w:val="23"/>
          <w:lang w:val="es-ES_tradnl"/>
        </w:rPr>
        <w:t xml:space="preserve">no es información que sea susceptible de ser entregada, ello en razón de que no se encuentra sujeta al escrutinio público, pues se reitera que no </w:t>
      </w:r>
      <w:r w:rsidRPr="007E1431">
        <w:rPr>
          <w:rFonts w:ascii="Palatino Linotype" w:eastAsia="Arial Unicode MS" w:hAnsi="Palatino Linotype" w:cs="Arial"/>
          <w:sz w:val="23"/>
          <w:szCs w:val="23"/>
        </w:rPr>
        <w:t>constituye el ejercicio de recursos públicos, ni la rea</w:t>
      </w:r>
      <w:r w:rsidR="00E34F71" w:rsidRPr="007E1431">
        <w:rPr>
          <w:rFonts w:ascii="Palatino Linotype" w:eastAsia="Arial Unicode MS" w:hAnsi="Palatino Linotype" w:cs="Arial"/>
          <w:sz w:val="23"/>
          <w:szCs w:val="23"/>
        </w:rPr>
        <w:t>lización de actos de autoridad.</w:t>
      </w:r>
    </w:p>
    <w:p w:rsidR="00E34F71" w:rsidRPr="007E1431" w:rsidRDefault="00E34F71" w:rsidP="0073126B">
      <w:pPr>
        <w:spacing w:line="360" w:lineRule="auto"/>
        <w:jc w:val="both"/>
        <w:rPr>
          <w:rFonts w:ascii="Palatino Linotype" w:eastAsia="Arial Unicode MS" w:hAnsi="Palatino Linotype" w:cs="Arial"/>
          <w:b/>
          <w:sz w:val="23"/>
          <w:szCs w:val="23"/>
          <w:lang w:val="es-ES_tradnl"/>
        </w:rPr>
      </w:pPr>
      <w:r w:rsidRPr="007E1431">
        <w:rPr>
          <w:rFonts w:ascii="Palatino Linotype" w:eastAsia="Arial Unicode MS" w:hAnsi="Palatino Linotype" w:cs="Arial"/>
          <w:sz w:val="23"/>
          <w:szCs w:val="23"/>
        </w:rPr>
        <w:t xml:space="preserve">Sobre este punto en particular es pertinente referir que de la página 10 a 15 en la resolución se estableció de manera clara y precisa que la </w:t>
      </w:r>
      <w:r w:rsidRPr="007E1431">
        <w:rPr>
          <w:rFonts w:ascii="Palatino Linotype" w:eastAsia="Arial Unicode MS" w:hAnsi="Palatino Linotype" w:cs="Arial"/>
          <w:b/>
          <w:sz w:val="23"/>
          <w:szCs w:val="23"/>
          <w:lang w:val="es-ES_tradnl"/>
        </w:rPr>
        <w:t xml:space="preserve">Agrupación de Trabajadores Académicos al Servicio del Colegio de Estudios Científicos y Tecnológicos del Estado de México (ATASCECYTEM), </w:t>
      </w:r>
      <w:r w:rsidRPr="007E1431">
        <w:rPr>
          <w:rFonts w:ascii="Palatino Linotype" w:eastAsia="Arial Unicode MS" w:hAnsi="Palatino Linotype" w:cs="Arial"/>
          <w:sz w:val="23"/>
          <w:szCs w:val="23"/>
          <w:lang w:val="es-ES_tradnl"/>
        </w:rPr>
        <w:t>es considerado Sujeto Obligado, en este sentido debe precisarse que la Ley de Transparencia refiere que l</w:t>
      </w:r>
      <w:r w:rsidRPr="007E1431">
        <w:rPr>
          <w:rFonts w:ascii="Palatino Linotype" w:eastAsia="Arial Unicode MS" w:hAnsi="Palatino Linotype" w:cs="Arial"/>
          <w:sz w:val="23"/>
          <w:szCs w:val="23"/>
        </w:rPr>
        <w:t xml:space="preserve">os sujetos obligados contarán con un área responsable para la atención de las solicitudes de información, a la que se le denominará Unidad de Transparencia. </w:t>
      </w:r>
      <w:r w:rsidR="0075269D" w:rsidRPr="007E1431">
        <w:rPr>
          <w:rFonts w:ascii="Palatino Linotype" w:eastAsia="Arial Unicode MS" w:hAnsi="Palatino Linotype" w:cs="Arial"/>
          <w:sz w:val="23"/>
          <w:szCs w:val="23"/>
        </w:rPr>
        <w:t xml:space="preserve">Del mismo modo los </w:t>
      </w:r>
      <w:r w:rsidRPr="007E1431">
        <w:rPr>
          <w:rFonts w:ascii="Palatino Linotype" w:eastAsia="Arial Unicode MS" w:hAnsi="Palatino Linotype" w:cs="Arial"/>
          <w:sz w:val="23"/>
          <w:szCs w:val="23"/>
        </w:rPr>
        <w:t>sujetos obligados designaran a un responsable para atender la Unidad de Transparencia, quien fungirá como enlace</w:t>
      </w:r>
      <w:r w:rsidR="0075269D" w:rsidRPr="007E1431">
        <w:rPr>
          <w:rFonts w:ascii="Palatino Linotype" w:eastAsia="Arial Unicode MS" w:hAnsi="Palatino Linotype" w:cs="Arial"/>
          <w:sz w:val="23"/>
          <w:szCs w:val="23"/>
        </w:rPr>
        <w:t xml:space="preserve"> entre éstos y los solicitantes, resaltando que dicha </w:t>
      </w:r>
      <w:r w:rsidRPr="007E1431">
        <w:rPr>
          <w:rFonts w:ascii="Palatino Linotype" w:eastAsia="Arial Unicode MS" w:hAnsi="Palatino Linotype" w:cs="Arial"/>
          <w:sz w:val="23"/>
          <w:szCs w:val="23"/>
        </w:rPr>
        <w:t>Unidad será la encargada de tramitar internamente la solicitud de información y tendrá la responsabilidad de verificar en cada caso que la misma n</w:t>
      </w:r>
      <w:r w:rsidR="0075269D" w:rsidRPr="007E1431">
        <w:rPr>
          <w:rFonts w:ascii="Palatino Linotype" w:eastAsia="Arial Unicode MS" w:hAnsi="Palatino Linotype" w:cs="Arial"/>
          <w:sz w:val="23"/>
          <w:szCs w:val="23"/>
        </w:rPr>
        <w:t xml:space="preserve">o sea confidencial o reservada, contando con </w:t>
      </w:r>
      <w:r w:rsidRPr="007E1431">
        <w:rPr>
          <w:rFonts w:ascii="Palatino Linotype" w:eastAsia="Arial Unicode MS" w:hAnsi="Palatino Linotype" w:cs="Arial"/>
          <w:sz w:val="23"/>
          <w:szCs w:val="23"/>
        </w:rPr>
        <w:t>las facultades internas necesarias para gestionar la atención a las solicitudes de información en los términos de la Ley General y la Ley</w:t>
      </w:r>
      <w:r w:rsidR="0075269D" w:rsidRPr="007E1431">
        <w:rPr>
          <w:rFonts w:ascii="Palatino Linotype" w:eastAsia="Arial Unicode MS" w:hAnsi="Palatino Linotype" w:cs="Arial"/>
          <w:sz w:val="23"/>
          <w:szCs w:val="23"/>
        </w:rPr>
        <w:t xml:space="preserve"> en comento</w:t>
      </w:r>
      <w:r w:rsidRPr="007E1431">
        <w:rPr>
          <w:rFonts w:ascii="Palatino Linotype" w:eastAsia="Arial Unicode MS" w:hAnsi="Palatino Linotype" w:cs="Arial"/>
          <w:sz w:val="23"/>
          <w:szCs w:val="23"/>
        </w:rPr>
        <w:t xml:space="preserve">. </w:t>
      </w:r>
      <w:r w:rsidRPr="007E1431">
        <w:rPr>
          <w:rFonts w:ascii="Palatino Linotype" w:eastAsia="Arial Unicode MS" w:hAnsi="Palatino Linotype" w:cs="Arial"/>
          <w:b/>
          <w:sz w:val="23"/>
          <w:szCs w:val="23"/>
          <w:lang w:val="es-ES_tradnl"/>
        </w:rPr>
        <w:t xml:space="preserve"> </w:t>
      </w:r>
    </w:p>
    <w:p w:rsidR="0075269D" w:rsidRPr="007E1431" w:rsidRDefault="0075269D" w:rsidP="0073126B">
      <w:pPr>
        <w:spacing w:line="360" w:lineRule="auto"/>
        <w:jc w:val="both"/>
        <w:rPr>
          <w:rFonts w:ascii="Palatino Linotype" w:eastAsia="Arial Unicode MS" w:hAnsi="Palatino Linotype" w:cs="Arial"/>
          <w:sz w:val="23"/>
          <w:szCs w:val="23"/>
          <w:lang w:val="es-ES_tradnl"/>
        </w:rPr>
      </w:pPr>
      <w:r w:rsidRPr="007E1431">
        <w:rPr>
          <w:rFonts w:ascii="Palatino Linotype" w:eastAsia="Arial Unicode MS" w:hAnsi="Palatino Linotype" w:cs="Arial"/>
          <w:sz w:val="23"/>
          <w:szCs w:val="23"/>
          <w:lang w:val="es-ES_tradnl"/>
        </w:rPr>
        <w:lastRenderedPageBreak/>
        <w:t>Cabe agregar que el artículo 53 de la Ley de Transparencia vigente en la entidad establece:</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Artículo 53.</w:t>
      </w:r>
      <w:r w:rsidRPr="007E1431">
        <w:rPr>
          <w:rFonts w:ascii="Palatino Linotype" w:hAnsi="Palatino Linotype"/>
          <w:i/>
          <w:sz w:val="20"/>
          <w:szCs w:val="20"/>
        </w:rPr>
        <w:t xml:space="preserve"> Las Unidades de Transparencia tendrán las siguientes funciones:</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I.</w:t>
      </w:r>
      <w:r w:rsidRPr="007E1431">
        <w:rPr>
          <w:rFonts w:ascii="Palatino Linotype" w:hAnsi="Palatino Linotype"/>
          <w:i/>
          <w:sz w:val="20"/>
          <w:szCs w:val="20"/>
        </w:rPr>
        <w:t xml:space="preserve">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II.</w:t>
      </w:r>
      <w:r w:rsidRPr="007E1431">
        <w:rPr>
          <w:rFonts w:ascii="Palatino Linotype" w:hAnsi="Palatino Linotype"/>
          <w:i/>
          <w:sz w:val="20"/>
          <w:szCs w:val="20"/>
        </w:rPr>
        <w:t xml:space="preserve"> </w:t>
      </w:r>
      <w:r w:rsidRPr="007E1431">
        <w:rPr>
          <w:rFonts w:ascii="Palatino Linotype" w:hAnsi="Palatino Linotype"/>
          <w:b/>
          <w:i/>
          <w:sz w:val="20"/>
          <w:szCs w:val="20"/>
          <w:u w:val="single"/>
        </w:rPr>
        <w:t>Recibir, tramitar y dar respuesta a las solicitudes de acceso a la información</w:t>
      </w:r>
      <w:r w:rsidRPr="007E1431">
        <w:rPr>
          <w:rFonts w:ascii="Palatino Linotype" w:hAnsi="Palatino Linotype"/>
          <w:i/>
          <w:sz w:val="20"/>
          <w:szCs w:val="20"/>
        </w:rPr>
        <w:t>;</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III.</w:t>
      </w:r>
      <w:r w:rsidRPr="007E1431">
        <w:rPr>
          <w:rFonts w:ascii="Palatino Linotype" w:hAnsi="Palatino Linotype"/>
          <w:i/>
          <w:sz w:val="20"/>
          <w:szCs w:val="20"/>
        </w:rPr>
        <w:t xml:space="preserve"> Auxiliar a los particulares en la elaboración de solicitudes de acceso a la información y, en su caso, orientarlos sobre los sujetos obligados competentes conforme a la normatividad aplicable;</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IV.</w:t>
      </w:r>
      <w:r w:rsidRPr="007E1431">
        <w:rPr>
          <w:rFonts w:ascii="Palatino Linotype" w:hAnsi="Palatino Linotype"/>
          <w:i/>
          <w:sz w:val="20"/>
          <w:szCs w:val="20"/>
        </w:rPr>
        <w:t xml:space="preserve"> </w:t>
      </w:r>
      <w:r w:rsidRPr="007E1431">
        <w:rPr>
          <w:rFonts w:ascii="Palatino Linotype" w:hAnsi="Palatino Linotype"/>
          <w:b/>
          <w:i/>
          <w:sz w:val="20"/>
          <w:szCs w:val="20"/>
          <w:u w:val="single"/>
        </w:rPr>
        <w:t>Realizar, con efectividad, los trámites internos necesarios para la atención de las solicitudes de acceso a la información</w:t>
      </w:r>
      <w:r w:rsidRPr="007E1431">
        <w:rPr>
          <w:rFonts w:ascii="Palatino Linotype" w:hAnsi="Palatino Linotype"/>
          <w:i/>
          <w:sz w:val="20"/>
          <w:szCs w:val="20"/>
        </w:rPr>
        <w:t>;</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V.</w:t>
      </w:r>
      <w:r w:rsidRPr="007E1431">
        <w:rPr>
          <w:rFonts w:ascii="Palatino Linotype" w:hAnsi="Palatino Linotype"/>
          <w:i/>
          <w:sz w:val="20"/>
          <w:szCs w:val="20"/>
        </w:rPr>
        <w:t xml:space="preserve"> </w:t>
      </w:r>
      <w:r w:rsidRPr="007E1431">
        <w:rPr>
          <w:rFonts w:ascii="Palatino Linotype" w:hAnsi="Palatino Linotype"/>
          <w:b/>
          <w:i/>
          <w:sz w:val="20"/>
          <w:szCs w:val="20"/>
          <w:u w:val="single"/>
        </w:rPr>
        <w:t>Entregar, en su caso, a los particulares la información solicitada</w:t>
      </w:r>
      <w:r w:rsidRPr="007E1431">
        <w:rPr>
          <w:rFonts w:ascii="Palatino Linotype" w:hAnsi="Palatino Linotype"/>
          <w:i/>
          <w:sz w:val="20"/>
          <w:szCs w:val="20"/>
        </w:rPr>
        <w:t>;</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VI.</w:t>
      </w:r>
      <w:r w:rsidRPr="007E1431">
        <w:rPr>
          <w:rFonts w:ascii="Palatino Linotype" w:hAnsi="Palatino Linotype"/>
          <w:i/>
          <w:sz w:val="20"/>
          <w:szCs w:val="20"/>
        </w:rPr>
        <w:t xml:space="preserve"> </w:t>
      </w:r>
      <w:r w:rsidRPr="007E1431">
        <w:rPr>
          <w:rFonts w:ascii="Palatino Linotype" w:hAnsi="Palatino Linotype"/>
          <w:b/>
          <w:i/>
          <w:sz w:val="20"/>
          <w:szCs w:val="20"/>
          <w:u w:val="single"/>
        </w:rPr>
        <w:t>Efectuar las notificaciones a los solicitantes</w:t>
      </w:r>
      <w:r w:rsidRPr="007E1431">
        <w:rPr>
          <w:rFonts w:ascii="Palatino Linotype" w:hAnsi="Palatino Linotype"/>
          <w:i/>
          <w:sz w:val="20"/>
          <w:szCs w:val="20"/>
        </w:rPr>
        <w:t>;</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VII.</w:t>
      </w:r>
      <w:r w:rsidRPr="007E1431">
        <w:rPr>
          <w:rFonts w:ascii="Palatino Linotype" w:hAnsi="Palatino Linotype"/>
          <w:i/>
          <w:sz w:val="20"/>
          <w:szCs w:val="20"/>
        </w:rPr>
        <w:t xml:space="preserve"> Proponer al Comité de Transparencia, los procedimientos internos que aseguren la mayor eficiencia en la gestión de las solicitudes de acceso a la información, conforme a la normatividad aplicable;</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VIII.</w:t>
      </w:r>
      <w:r w:rsidRPr="007E1431">
        <w:rPr>
          <w:rFonts w:ascii="Palatino Linotype" w:hAnsi="Palatino Linotype"/>
          <w:i/>
          <w:sz w:val="20"/>
          <w:szCs w:val="20"/>
        </w:rPr>
        <w:t xml:space="preserve"> Proponer a quien preside el Comité de Transparencia, personal habilitado que sea necesario para recibir y dar trámite a las solicitudes de acceso a la información;</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IX.</w:t>
      </w:r>
      <w:r w:rsidRPr="007E1431">
        <w:rPr>
          <w:rFonts w:ascii="Palatino Linotype" w:hAnsi="Palatino Linotype"/>
          <w:i/>
          <w:sz w:val="20"/>
          <w:szCs w:val="20"/>
        </w:rPr>
        <w:t xml:space="preserve"> Llevar un registro de las solicitudes de acceso a la información, sus respuestas, resultados, costos de reproducción y envío, resolución a los recursos de revisión que se hayan emitido en contra de sus respuestas y del cumplimiento de las mismas;</w:t>
      </w:r>
    </w:p>
    <w:p w:rsidR="0075269D" w:rsidRPr="007E1431" w:rsidRDefault="0075269D" w:rsidP="0075269D">
      <w:pPr>
        <w:tabs>
          <w:tab w:val="right" w:pos="8077"/>
        </w:tabs>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X.</w:t>
      </w:r>
      <w:r w:rsidRPr="007E1431">
        <w:rPr>
          <w:rFonts w:ascii="Palatino Linotype" w:hAnsi="Palatino Linotype"/>
          <w:i/>
          <w:sz w:val="20"/>
          <w:szCs w:val="20"/>
        </w:rPr>
        <w:t xml:space="preserve"> </w:t>
      </w:r>
      <w:r w:rsidRPr="007E1431">
        <w:rPr>
          <w:rFonts w:ascii="Palatino Linotype" w:hAnsi="Palatino Linotype"/>
          <w:b/>
          <w:i/>
          <w:sz w:val="20"/>
          <w:szCs w:val="20"/>
          <w:u w:val="single"/>
        </w:rPr>
        <w:t>Presentar ante el Comité, el proyecto de clasificación de información</w:t>
      </w:r>
      <w:r w:rsidRPr="007E1431">
        <w:rPr>
          <w:rFonts w:ascii="Palatino Linotype" w:hAnsi="Palatino Linotype"/>
          <w:i/>
          <w:sz w:val="20"/>
          <w:szCs w:val="20"/>
        </w:rPr>
        <w:t>;</w:t>
      </w:r>
      <w:r w:rsidRPr="007E1431">
        <w:rPr>
          <w:rFonts w:ascii="Palatino Linotype" w:hAnsi="Palatino Linotype"/>
          <w:i/>
          <w:sz w:val="20"/>
          <w:szCs w:val="20"/>
        </w:rPr>
        <w:tab/>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XI.</w:t>
      </w:r>
      <w:r w:rsidRPr="007E1431">
        <w:rPr>
          <w:rFonts w:ascii="Palatino Linotype" w:hAnsi="Palatino Linotype"/>
          <w:i/>
          <w:sz w:val="20"/>
          <w:szCs w:val="20"/>
        </w:rPr>
        <w:t xml:space="preserve"> Promover e implementar políticas de transparencia proactiva procurando su accesibilidad;</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XII.</w:t>
      </w:r>
      <w:r w:rsidRPr="007E1431">
        <w:rPr>
          <w:rFonts w:ascii="Palatino Linotype" w:hAnsi="Palatino Linotype"/>
          <w:i/>
          <w:sz w:val="20"/>
          <w:szCs w:val="20"/>
        </w:rPr>
        <w:t xml:space="preserve"> Fomentar la transparencia y accesibilidad al interior del sujeto obligado;</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XIII.</w:t>
      </w:r>
      <w:r w:rsidRPr="007E1431">
        <w:rPr>
          <w:rFonts w:ascii="Palatino Linotype" w:hAnsi="Palatino Linotype"/>
          <w:i/>
          <w:sz w:val="20"/>
          <w:szCs w:val="20"/>
        </w:rPr>
        <w:t xml:space="preserve"> Hacer del conocimiento de la instancia competente la probable responsabilidad por el incumplimiento de las obligaciones previstas en la presente Ley; y</w:t>
      </w: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b/>
          <w:i/>
          <w:sz w:val="20"/>
          <w:szCs w:val="20"/>
        </w:rPr>
        <w:t>XIV.</w:t>
      </w:r>
      <w:r w:rsidRPr="007E1431">
        <w:rPr>
          <w:rFonts w:ascii="Palatino Linotype" w:hAnsi="Palatino Linotype"/>
          <w:i/>
          <w:sz w:val="20"/>
          <w:szCs w:val="20"/>
        </w:rPr>
        <w:t xml:space="preserve"> Las demás que resulten necesarias para facilitar el acceso a la información y aquellas que se desprenden de la presente Ley y demás disposiciones jurídicas aplicables.</w:t>
      </w:r>
    </w:p>
    <w:p w:rsidR="0075269D" w:rsidRPr="007E1431" w:rsidRDefault="0075269D" w:rsidP="0075269D">
      <w:pPr>
        <w:spacing w:after="0" w:line="240" w:lineRule="auto"/>
        <w:ind w:left="851" w:right="851"/>
        <w:jc w:val="both"/>
        <w:rPr>
          <w:rFonts w:ascii="Palatino Linotype" w:hAnsi="Palatino Linotype"/>
          <w:i/>
          <w:sz w:val="20"/>
          <w:szCs w:val="20"/>
        </w:rPr>
      </w:pPr>
    </w:p>
    <w:p w:rsidR="0075269D"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i/>
          <w:sz w:val="20"/>
          <w:szCs w:val="20"/>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75269D" w:rsidRPr="007E1431" w:rsidRDefault="0075269D" w:rsidP="0075269D">
      <w:pPr>
        <w:spacing w:after="0" w:line="240" w:lineRule="auto"/>
        <w:ind w:left="851" w:right="851"/>
        <w:jc w:val="both"/>
        <w:rPr>
          <w:rFonts w:ascii="Palatino Linotype" w:hAnsi="Palatino Linotype"/>
          <w:i/>
          <w:sz w:val="20"/>
          <w:szCs w:val="20"/>
        </w:rPr>
      </w:pPr>
    </w:p>
    <w:p w:rsidR="0073126B" w:rsidRPr="007E1431" w:rsidRDefault="0075269D" w:rsidP="0075269D">
      <w:pPr>
        <w:spacing w:after="0" w:line="240" w:lineRule="auto"/>
        <w:ind w:left="851" w:right="851"/>
        <w:jc w:val="both"/>
        <w:rPr>
          <w:rFonts w:ascii="Palatino Linotype" w:hAnsi="Palatino Linotype"/>
          <w:i/>
          <w:sz w:val="20"/>
          <w:szCs w:val="20"/>
        </w:rPr>
      </w:pPr>
      <w:r w:rsidRPr="007E1431">
        <w:rPr>
          <w:rFonts w:ascii="Palatino Linotype" w:hAnsi="Palatino Linotype"/>
          <w:i/>
          <w:sz w:val="20"/>
          <w:szCs w:val="20"/>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75269D" w:rsidRPr="007E1431" w:rsidRDefault="0075269D" w:rsidP="0075269D">
      <w:pPr>
        <w:spacing w:after="0" w:line="240" w:lineRule="auto"/>
        <w:ind w:left="851" w:right="851"/>
        <w:jc w:val="both"/>
        <w:rPr>
          <w:rFonts w:ascii="Palatino Linotype" w:hAnsi="Palatino Linotype"/>
          <w:i/>
          <w:sz w:val="20"/>
          <w:szCs w:val="20"/>
        </w:rPr>
      </w:pPr>
    </w:p>
    <w:p w:rsidR="0075269D" w:rsidRPr="007E1431" w:rsidRDefault="0075269D" w:rsidP="0075269D">
      <w:pPr>
        <w:spacing w:after="0" w:line="240" w:lineRule="auto"/>
        <w:ind w:left="851" w:right="851"/>
        <w:jc w:val="both"/>
        <w:rPr>
          <w:rFonts w:ascii="Palatino Linotype" w:eastAsia="Arial Unicode MS" w:hAnsi="Palatino Linotype" w:cs="Arial"/>
          <w:i/>
          <w:sz w:val="20"/>
          <w:szCs w:val="20"/>
        </w:rPr>
      </w:pPr>
      <w:r w:rsidRPr="007E1431">
        <w:rPr>
          <w:rFonts w:ascii="Palatino Linotype" w:hAnsi="Palatino Linotype"/>
          <w:i/>
          <w:sz w:val="20"/>
          <w:szCs w:val="20"/>
        </w:rPr>
        <w:t>Énfasis añadido.</w:t>
      </w:r>
    </w:p>
    <w:p w:rsidR="0073126B" w:rsidRPr="007E1431" w:rsidRDefault="0073126B" w:rsidP="0073126B">
      <w:pPr>
        <w:spacing w:line="360" w:lineRule="auto"/>
        <w:jc w:val="both"/>
        <w:rPr>
          <w:rFonts w:ascii="Palatino Linotype" w:hAnsi="Palatino Linotype"/>
          <w:sz w:val="23"/>
          <w:szCs w:val="23"/>
        </w:rPr>
      </w:pPr>
    </w:p>
    <w:p w:rsidR="00B75132" w:rsidRPr="007E1431" w:rsidRDefault="0075269D" w:rsidP="00B75132">
      <w:pPr>
        <w:spacing w:line="360" w:lineRule="auto"/>
        <w:jc w:val="both"/>
        <w:rPr>
          <w:rFonts w:ascii="Palatino Linotype" w:hAnsi="Palatino Linotype"/>
          <w:sz w:val="23"/>
          <w:szCs w:val="23"/>
        </w:rPr>
      </w:pPr>
      <w:r w:rsidRPr="007E1431">
        <w:rPr>
          <w:rFonts w:ascii="Palatino Linotype" w:hAnsi="Palatino Linotype"/>
          <w:sz w:val="23"/>
          <w:szCs w:val="23"/>
        </w:rPr>
        <w:t xml:space="preserve">Del dispositivo legal en comento se advierte que las unidades de transparencia de los sujetos obligados tienen diversas funciones entre las que sobresalen y son de interés para el presente asunto las contenidas en las fracciones </w:t>
      </w:r>
      <w:r w:rsidR="00B75132" w:rsidRPr="007E1431">
        <w:rPr>
          <w:rFonts w:ascii="Palatino Linotype" w:hAnsi="Palatino Linotype"/>
          <w:sz w:val="23"/>
          <w:szCs w:val="23"/>
        </w:rPr>
        <w:t xml:space="preserve">II, IV, V, VI y X consistentes en recibir, tramitar y dar respuesta a las solicitudes de acceso a la información; realizar, con efectividad, los trámites internos necesarios para la atención de las solicitudes de acceso a la información; entregando, en su caso, a los particulares la información solicitada; efectuar las notificaciones a los solicitantes; presentar ante el Comité, el proyecto de clasificación de información; tal y como establece el artículo 49 fracción II de la Ley en comento, es decir, a consideración del suscrito </w:t>
      </w:r>
      <w:r w:rsidR="00246F90" w:rsidRPr="007E1431">
        <w:rPr>
          <w:rFonts w:ascii="Palatino Linotype" w:hAnsi="Palatino Linotype"/>
          <w:sz w:val="23"/>
          <w:szCs w:val="23"/>
        </w:rPr>
        <w:t xml:space="preserve">al Sujeto Obligado le corresponde el trámite interno de la solicitud de información, esto realizando las diligencias necesarias para allegarse de la misma y de ser procedente clasificarla en cualquiera de las modalidades establecidas en la ley aplicable, motivo por el cual en el asunto en análisis </w:t>
      </w:r>
      <w:r w:rsidR="00B75132" w:rsidRPr="007E1431">
        <w:rPr>
          <w:rFonts w:ascii="Palatino Linotype" w:hAnsi="Palatino Linotype"/>
          <w:sz w:val="23"/>
          <w:szCs w:val="23"/>
        </w:rPr>
        <w:t xml:space="preserve">debió ordenarse al Sujeto Obligado que previa búsqueda exhaustiva y razonable entregara la información materia de la solicitud </w:t>
      </w:r>
      <w:r w:rsidR="00B75132" w:rsidRPr="007E1431">
        <w:rPr>
          <w:rFonts w:ascii="Palatino Linotype" w:hAnsi="Palatino Linotype"/>
          <w:b/>
          <w:bCs/>
          <w:sz w:val="23"/>
          <w:szCs w:val="23"/>
          <w:lang w:val="es-ES_tradnl"/>
        </w:rPr>
        <w:t xml:space="preserve">00034/ATASCECYTE/IP/2018, </w:t>
      </w:r>
      <w:r w:rsidR="00B75132" w:rsidRPr="007E1431">
        <w:rPr>
          <w:rFonts w:ascii="Palatino Linotype" w:hAnsi="Palatino Linotype"/>
          <w:bCs/>
          <w:sz w:val="23"/>
          <w:szCs w:val="23"/>
          <w:lang w:val="es-ES_tradnl"/>
        </w:rPr>
        <w:t xml:space="preserve">y que de considerar se actualizara alguna causal que fuera suficiente para clasificarla como </w:t>
      </w:r>
      <w:r w:rsidR="00B75132" w:rsidRPr="007E1431">
        <w:rPr>
          <w:rFonts w:ascii="Palatino Linotype" w:hAnsi="Palatino Linotype"/>
          <w:bCs/>
          <w:sz w:val="23"/>
          <w:szCs w:val="23"/>
          <w:lang w:val="es-ES_tradnl"/>
        </w:rPr>
        <w:lastRenderedPageBreak/>
        <w:t>reserva o confidencial la información emitiera el acuerdo correspondiente debidamente fundado y motivado</w:t>
      </w:r>
      <w:r w:rsidR="00246F90" w:rsidRPr="007E1431">
        <w:rPr>
          <w:rFonts w:ascii="Palatino Linotype" w:hAnsi="Palatino Linotype"/>
          <w:bCs/>
          <w:sz w:val="23"/>
          <w:szCs w:val="23"/>
          <w:lang w:val="es-ES_tradnl"/>
        </w:rPr>
        <w:t xml:space="preserve">, en virtud de que la ley de manera expresa establece cuales son las funciones de los Sujeto Obligados en tratándose de las solicitudes acceso a la información pública. </w:t>
      </w:r>
    </w:p>
    <w:p w:rsidR="00E34F71" w:rsidRPr="007E1431" w:rsidRDefault="00E34F71" w:rsidP="00E34F71">
      <w:pPr>
        <w:autoSpaceDE w:val="0"/>
        <w:autoSpaceDN w:val="0"/>
        <w:adjustRightInd w:val="0"/>
        <w:spacing w:after="0" w:line="360" w:lineRule="auto"/>
        <w:ind w:right="-3"/>
        <w:jc w:val="both"/>
        <w:rPr>
          <w:rFonts w:ascii="Palatino Linotype" w:hAnsi="Palatino Linotype" w:cs="Bookman Old Style"/>
          <w:sz w:val="23"/>
          <w:szCs w:val="23"/>
        </w:rPr>
      </w:pPr>
      <w:r w:rsidRPr="007E1431">
        <w:rPr>
          <w:rFonts w:ascii="Palatino Linotype" w:hAnsi="Palatino Linotype" w:cs="Bookman Old Style"/>
          <w:sz w:val="23"/>
          <w:szCs w:val="23"/>
        </w:rPr>
        <w:t>Adicional a lo expuesto es pertinente atender lo expuesto en la “Relatoría Especial para la Libertad de Expresión Comisión de Derechos Humanos”</w:t>
      </w:r>
      <w:r w:rsidRPr="007E1431">
        <w:rPr>
          <w:rFonts w:ascii="Palatino Linotype" w:hAnsi="Palatino Linotype" w:cs="Bookman Old Style"/>
          <w:sz w:val="23"/>
          <w:szCs w:val="23"/>
          <w:vertAlign w:val="superscript"/>
        </w:rPr>
        <w:footnoteReference w:id="1"/>
      </w:r>
      <w:r w:rsidRPr="007E1431">
        <w:rPr>
          <w:rFonts w:ascii="Palatino Linotype" w:hAnsi="Palatino Linotype" w:cs="Bookman Old Style"/>
          <w:sz w:val="23"/>
          <w:szCs w:val="23"/>
        </w:rPr>
        <w:t>, que en su inciso “b”, punto 13 menciona:</w:t>
      </w:r>
    </w:p>
    <w:p w:rsidR="00E34F71" w:rsidRPr="007E1431" w:rsidRDefault="00E34F71" w:rsidP="00E34F71">
      <w:pPr>
        <w:autoSpaceDE w:val="0"/>
        <w:autoSpaceDN w:val="0"/>
        <w:adjustRightInd w:val="0"/>
        <w:spacing w:after="0" w:line="240" w:lineRule="auto"/>
        <w:ind w:left="851" w:right="990"/>
        <w:jc w:val="both"/>
        <w:rPr>
          <w:rFonts w:ascii="Palatino Linotype" w:hAnsi="Palatino Linotype" w:cs="Bookman Old Style"/>
          <w:b/>
          <w:i/>
        </w:rPr>
      </w:pPr>
      <w:r w:rsidRPr="007E1431">
        <w:rPr>
          <w:rFonts w:ascii="Palatino Linotype" w:hAnsi="Palatino Linotype" w:cs="Bookman Old Style"/>
          <w:i/>
        </w:rPr>
        <w:t>‘</w:t>
      </w:r>
      <w:r w:rsidRPr="007E1431">
        <w:rPr>
          <w:rFonts w:ascii="Palatino Linotype" w:hAnsi="Palatino Linotype" w:cs="Bookman Old Style"/>
          <w:b/>
          <w:i/>
        </w:rPr>
        <w:t>b. Carga de la probatoria para el Estado en caso de establecer limitaciones al derecho de acceso a la información</w:t>
      </w:r>
    </w:p>
    <w:p w:rsidR="00E34F71" w:rsidRPr="007E1431" w:rsidRDefault="00E34F71" w:rsidP="00E34F71">
      <w:pPr>
        <w:autoSpaceDE w:val="0"/>
        <w:autoSpaceDN w:val="0"/>
        <w:adjustRightInd w:val="0"/>
        <w:spacing w:after="0" w:line="240" w:lineRule="auto"/>
        <w:ind w:left="851" w:right="990"/>
        <w:jc w:val="both"/>
        <w:rPr>
          <w:rFonts w:ascii="Palatino Linotype" w:hAnsi="Palatino Linotype" w:cs="Bookman Old Style"/>
          <w:b/>
          <w:i/>
        </w:rPr>
      </w:pPr>
    </w:p>
    <w:p w:rsidR="00E34F71" w:rsidRPr="007E1431" w:rsidRDefault="00E34F71" w:rsidP="00E34F71">
      <w:pPr>
        <w:autoSpaceDE w:val="0"/>
        <w:autoSpaceDN w:val="0"/>
        <w:adjustRightInd w:val="0"/>
        <w:spacing w:after="0" w:line="240" w:lineRule="auto"/>
        <w:ind w:left="851" w:right="990"/>
        <w:jc w:val="both"/>
        <w:rPr>
          <w:rFonts w:ascii="Palatino Linotype" w:hAnsi="Palatino Linotype" w:cs="Bookman Old Style"/>
          <w:i/>
        </w:rPr>
      </w:pPr>
      <w:r w:rsidRPr="007E1431">
        <w:rPr>
          <w:rFonts w:ascii="Palatino Linotype" w:hAnsi="Palatino Linotype" w:cs="Bookman Old Style"/>
          <w:i/>
        </w:rPr>
        <w:t>13. La jurisprudencia de la Corte Interamericana ha establecido que e 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w:t>
      </w:r>
      <w:r w:rsidR="008D7EE6">
        <w:rPr>
          <w:rFonts w:ascii="Palatino Linotype" w:hAnsi="Palatino Linotype" w:cs="Bookman Old Style"/>
          <w:i/>
        </w:rPr>
        <w:t>tiva de acceso a la información</w:t>
      </w:r>
      <w:r w:rsidRPr="007E1431">
        <w:rPr>
          <w:rFonts w:ascii="Palatino Linotype" w:hAnsi="Palatino Linotype" w:cs="Bookman Old Style"/>
          <w:i/>
        </w:rPr>
        <w:t xml:space="preserve"> debe recaer en el órgano al cual la información fue solicitada”. Lo anterior permite generar seguridad jurídica ene le ejercicio del derecho de acceso a la información, pues, al estar la información en control del Estado debe evitarse al máximo la actuación discrecional y arbitraje del mismo en el establecimiento de las restricciones al derecho’      </w:t>
      </w:r>
    </w:p>
    <w:p w:rsidR="00E34F71" w:rsidRPr="007E1431" w:rsidRDefault="00E34F71" w:rsidP="00E34F71">
      <w:pPr>
        <w:autoSpaceDE w:val="0"/>
        <w:autoSpaceDN w:val="0"/>
        <w:adjustRightInd w:val="0"/>
        <w:spacing w:after="0" w:line="360" w:lineRule="auto"/>
        <w:ind w:right="-3"/>
        <w:jc w:val="both"/>
        <w:rPr>
          <w:rFonts w:ascii="Palatino Linotype" w:hAnsi="Palatino Linotype" w:cs="Bookman Old Style"/>
          <w:sz w:val="24"/>
          <w:szCs w:val="24"/>
        </w:rPr>
      </w:pPr>
      <w:r w:rsidRPr="007E1431">
        <w:rPr>
          <w:rFonts w:ascii="Palatino Linotype" w:hAnsi="Palatino Linotype" w:cs="Bookman Old Style"/>
          <w:sz w:val="24"/>
          <w:szCs w:val="24"/>
        </w:rPr>
        <w:t xml:space="preserve">  </w:t>
      </w:r>
    </w:p>
    <w:p w:rsidR="00E34F71" w:rsidRPr="007E1431" w:rsidRDefault="00E34F71" w:rsidP="00E34F71">
      <w:pPr>
        <w:spacing w:line="360" w:lineRule="auto"/>
        <w:jc w:val="both"/>
        <w:rPr>
          <w:rFonts w:ascii="Palatino Linotype" w:hAnsi="Palatino Linotype"/>
          <w:sz w:val="23"/>
          <w:szCs w:val="23"/>
        </w:rPr>
      </w:pPr>
      <w:r w:rsidRPr="007E1431">
        <w:rPr>
          <w:rFonts w:ascii="Palatino Linotype" w:hAnsi="Palatino Linotype" w:cs="Bookman Old Style"/>
          <w:sz w:val="23"/>
          <w:szCs w:val="23"/>
        </w:rPr>
        <w:t xml:space="preserve">Lo anterior, robustece que es el Sujeto Obligado, a quien le fue solicitada la información materia de estudio, quien en todo caso debe demostrar </w:t>
      </w:r>
      <w:r w:rsidR="00246F90" w:rsidRPr="007E1431">
        <w:rPr>
          <w:rFonts w:ascii="Palatino Linotype" w:hAnsi="Palatino Linotype" w:cs="Bookman Old Style"/>
          <w:sz w:val="23"/>
          <w:szCs w:val="23"/>
        </w:rPr>
        <w:t xml:space="preserve">que la información requerida por el impetrante no puede ser entregada con motivo de la actualización de algunas de las </w:t>
      </w:r>
      <w:r w:rsidR="00246F90" w:rsidRPr="007E1431">
        <w:rPr>
          <w:rFonts w:ascii="Palatino Linotype" w:hAnsi="Palatino Linotype" w:cs="Bookman Old Style"/>
          <w:sz w:val="23"/>
          <w:szCs w:val="23"/>
        </w:rPr>
        <w:lastRenderedPageBreak/>
        <w:t>causales de reserva o confidencialidad que contempla la Ley de Transparencia vigente</w:t>
      </w:r>
      <w:r w:rsidRPr="007E1431">
        <w:rPr>
          <w:rFonts w:ascii="Palatino Linotype" w:hAnsi="Palatino Linotype" w:cs="Bookman Old Style"/>
          <w:sz w:val="23"/>
          <w:szCs w:val="23"/>
        </w:rPr>
        <w:t xml:space="preserve">, otorgando con ello la debida seguridad jurídica todo gobernado y con ello la garantía del derecho humano de acceso a la información pública al hoy Recurrente.  </w:t>
      </w:r>
    </w:p>
    <w:p w:rsidR="0073126B" w:rsidRPr="007E1431" w:rsidRDefault="0073126B" w:rsidP="004149F3">
      <w:pPr>
        <w:spacing w:line="360" w:lineRule="auto"/>
        <w:jc w:val="both"/>
        <w:rPr>
          <w:rFonts w:ascii="Palatino Linotype" w:eastAsia="Arial Unicode MS" w:hAnsi="Palatino Linotype" w:cs="Arial"/>
          <w:sz w:val="23"/>
          <w:szCs w:val="23"/>
        </w:rPr>
      </w:pPr>
    </w:p>
    <w:p w:rsidR="001E488D" w:rsidRPr="007E1431" w:rsidRDefault="001E488D" w:rsidP="001E488D">
      <w:pPr>
        <w:spacing w:after="0" w:line="360" w:lineRule="auto"/>
        <w:jc w:val="both"/>
        <w:rPr>
          <w:rFonts w:ascii="Palatino Linotype" w:hAnsi="Palatino Linotype" w:cs="Arial"/>
          <w:sz w:val="23"/>
          <w:szCs w:val="23"/>
        </w:rPr>
      </w:pPr>
      <w:r w:rsidRPr="007E1431">
        <w:rPr>
          <w:rFonts w:ascii="Palatino Linotype" w:hAnsi="Palatino Linotype"/>
          <w:sz w:val="23"/>
          <w:szCs w:val="23"/>
        </w:rPr>
        <w:t>En mérito de lo precisado con anterioridad</w:t>
      </w:r>
      <w:r w:rsidRPr="007E1431">
        <w:rPr>
          <w:rFonts w:ascii="Palatino Linotype" w:hAnsi="Palatino Linotype" w:cs="Arial"/>
          <w:sz w:val="23"/>
          <w:szCs w:val="23"/>
        </w:rPr>
        <w:t xml:space="preserve">, </w:t>
      </w:r>
      <w:r w:rsidRPr="007E1431">
        <w:rPr>
          <w:rFonts w:ascii="Palatino Linotype" w:hAnsi="Palatino Linotype"/>
          <w:sz w:val="23"/>
          <w:szCs w:val="23"/>
        </w:rPr>
        <w:t>el suscrito emite el presente voto particular.</w:t>
      </w:r>
    </w:p>
    <w:p w:rsidR="001E488D" w:rsidRPr="007E1431" w:rsidRDefault="001E488D" w:rsidP="001E488D">
      <w:pPr>
        <w:spacing w:after="0" w:line="360" w:lineRule="auto"/>
        <w:rPr>
          <w:rFonts w:ascii="Palatino Linotype" w:hAnsi="Palatino Linotype"/>
          <w:b/>
          <w:sz w:val="23"/>
          <w:szCs w:val="23"/>
        </w:rPr>
      </w:pPr>
    </w:p>
    <w:p w:rsidR="001E488D" w:rsidRPr="007E1431" w:rsidRDefault="001E488D" w:rsidP="001E488D">
      <w:pPr>
        <w:spacing w:after="0" w:line="240" w:lineRule="auto"/>
        <w:jc w:val="center"/>
        <w:rPr>
          <w:rFonts w:ascii="Palatino Linotype" w:hAnsi="Palatino Linotype"/>
          <w:b/>
          <w:sz w:val="23"/>
          <w:szCs w:val="23"/>
        </w:rPr>
      </w:pPr>
      <w:r w:rsidRPr="007E1431">
        <w:rPr>
          <w:rFonts w:ascii="Palatino Linotype" w:hAnsi="Palatino Linotype"/>
          <w:b/>
          <w:sz w:val="23"/>
          <w:szCs w:val="23"/>
        </w:rPr>
        <w:t xml:space="preserve">     Javier Martínez Cruz</w:t>
      </w:r>
    </w:p>
    <w:p w:rsidR="001E488D" w:rsidRPr="007E1431" w:rsidRDefault="001E488D" w:rsidP="001E488D">
      <w:pPr>
        <w:spacing w:after="0" w:line="240" w:lineRule="auto"/>
        <w:jc w:val="center"/>
        <w:rPr>
          <w:rFonts w:ascii="Palatino Linotype" w:hAnsi="Palatino Linotype"/>
          <w:sz w:val="23"/>
          <w:szCs w:val="23"/>
        </w:rPr>
      </w:pPr>
      <w:r w:rsidRPr="007E1431">
        <w:rPr>
          <w:rFonts w:ascii="Palatino Linotype" w:hAnsi="Palatino Linotype"/>
          <w:sz w:val="23"/>
          <w:szCs w:val="23"/>
        </w:rPr>
        <w:t>Comisionado</w:t>
      </w:r>
    </w:p>
    <w:p w:rsidR="00246F90" w:rsidRPr="007E1431" w:rsidRDefault="00246F90" w:rsidP="001E488D">
      <w:pPr>
        <w:spacing w:after="0" w:line="240" w:lineRule="auto"/>
        <w:jc w:val="center"/>
        <w:rPr>
          <w:rFonts w:ascii="Palatino Linotype" w:hAnsi="Palatino Linotype"/>
          <w:sz w:val="23"/>
          <w:szCs w:val="23"/>
        </w:rPr>
      </w:pPr>
      <w:r w:rsidRPr="007E1431">
        <w:rPr>
          <w:rFonts w:ascii="Palatino Linotype" w:hAnsi="Palatino Linotype"/>
          <w:sz w:val="23"/>
          <w:szCs w:val="23"/>
        </w:rPr>
        <w:t>(Rúbrica)</w:t>
      </w:r>
    </w:p>
    <w:p w:rsidR="001E488D" w:rsidRPr="007E1431" w:rsidRDefault="001E488D" w:rsidP="001E488D">
      <w:pPr>
        <w:spacing w:after="0" w:line="240" w:lineRule="auto"/>
        <w:jc w:val="center"/>
        <w:rPr>
          <w:rFonts w:ascii="Palatino Linotype" w:hAnsi="Palatino Linotype"/>
          <w:sz w:val="23"/>
          <w:szCs w:val="23"/>
        </w:rPr>
      </w:pPr>
      <w:r w:rsidRPr="007E1431">
        <w:rPr>
          <w:rFonts w:ascii="Palatino Linotype" w:hAnsi="Palatino Linotype"/>
          <w:b/>
          <w:sz w:val="23"/>
          <w:szCs w:val="23"/>
        </w:rPr>
        <w:t xml:space="preserve">                                     </w:t>
      </w:r>
      <w:r w:rsidRPr="007E1431">
        <w:rPr>
          <w:rFonts w:ascii="Palatino Linotype" w:hAnsi="Palatino Linotype"/>
          <w:sz w:val="23"/>
          <w:szCs w:val="23"/>
        </w:rPr>
        <w:t xml:space="preserve">                                                                                                                                    </w:t>
      </w:r>
    </w:p>
    <w:p w:rsidR="00382E20" w:rsidRPr="007E1431" w:rsidRDefault="00382E20"/>
    <w:sectPr w:rsidR="00382E20" w:rsidRPr="007E1431"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915" w:rsidRDefault="00CA0915" w:rsidP="001E488D">
      <w:pPr>
        <w:spacing w:after="0" w:line="240" w:lineRule="auto"/>
      </w:pPr>
      <w:r>
        <w:separator/>
      </w:r>
    </w:p>
  </w:endnote>
  <w:endnote w:type="continuationSeparator" w:id="0">
    <w:p w:rsidR="00CA0915" w:rsidRDefault="00CA0915" w:rsidP="001E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495AD2"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D7EE6">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D7EE6">
      <w:rPr>
        <w:rFonts w:ascii="Arial" w:hAnsi="Arial" w:cs="Arial"/>
        <w:b/>
        <w:bCs/>
        <w:noProof/>
        <w:sz w:val="20"/>
        <w:szCs w:val="20"/>
      </w:rPr>
      <w:t>7</w:t>
    </w:r>
    <w:r w:rsidRPr="00986599">
      <w:rPr>
        <w:rFonts w:ascii="Arial" w:hAnsi="Arial" w:cs="Arial"/>
        <w:b/>
        <w:bCs/>
        <w:sz w:val="20"/>
        <w:szCs w:val="20"/>
      </w:rPr>
      <w:fldChar w:fldCharType="end"/>
    </w:r>
  </w:p>
  <w:p w:rsidR="00D758BE" w:rsidRDefault="008D7EE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915" w:rsidRDefault="00CA0915" w:rsidP="001E488D">
      <w:pPr>
        <w:spacing w:after="0" w:line="240" w:lineRule="auto"/>
      </w:pPr>
      <w:r>
        <w:separator/>
      </w:r>
    </w:p>
  </w:footnote>
  <w:footnote w:type="continuationSeparator" w:id="0">
    <w:p w:rsidR="00CA0915" w:rsidRDefault="00CA0915" w:rsidP="001E488D">
      <w:pPr>
        <w:spacing w:after="0" w:line="240" w:lineRule="auto"/>
      </w:pPr>
      <w:r>
        <w:continuationSeparator/>
      </w:r>
    </w:p>
  </w:footnote>
  <w:footnote w:id="1">
    <w:p w:rsidR="00E34F71" w:rsidRPr="00BA45EA" w:rsidRDefault="00E34F71" w:rsidP="00E34F71">
      <w:pPr>
        <w:pStyle w:val="Textonotapie"/>
        <w:jc w:val="both"/>
        <w:rPr>
          <w:i/>
        </w:rPr>
      </w:pPr>
      <w:r w:rsidRPr="00BA45EA">
        <w:rPr>
          <w:rStyle w:val="Refdenotaalpie"/>
          <w:rFonts w:ascii="Palatino Linotype" w:hAnsi="Palatino Linotype"/>
          <w:i/>
        </w:rPr>
        <w:footnoteRef/>
      </w:r>
      <w:r w:rsidRPr="00BA45EA">
        <w:rPr>
          <w:rFonts w:ascii="Palatino Linotype" w:hAnsi="Palatino Linotype"/>
          <w:i/>
        </w:rPr>
        <w:t xml:space="preserve"> “El derecho de acceso a la información en</w:t>
      </w:r>
      <w:r>
        <w:rPr>
          <w:rFonts w:ascii="Palatino Linotype" w:hAnsi="Palatino Linotype"/>
          <w:i/>
        </w:rPr>
        <w:t xml:space="preserve"> </w:t>
      </w:r>
      <w:r w:rsidRPr="00BA45EA">
        <w:rPr>
          <w:rFonts w:ascii="Palatino Linotype" w:hAnsi="Palatino Linotype"/>
          <w:i/>
        </w:rPr>
        <w:t>el marco jurídico interamericano”.</w:t>
      </w:r>
      <w:r>
        <w:t xml:space="preserve"> </w:t>
      </w:r>
      <w:r w:rsidRPr="00BA45EA">
        <w:rPr>
          <w:rFonts w:ascii="Palatino Linotype" w:hAnsi="Palatino Linotype" w:cs="Bookman Old Style"/>
          <w:i/>
        </w:rPr>
        <w:t>Relatoría Especial para la Libertad de Expresión Comisión de Derechos Humanos</w:t>
      </w:r>
      <w:r>
        <w:rPr>
          <w:rFonts w:ascii="Palatino Linotype" w:hAnsi="Palatino Linotype" w:cs="Bookman Old Style"/>
          <w:i/>
        </w:rPr>
        <w:t>. Organización de los Estados Americanos.2010. página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95AD2">
    <w:pPr>
      <w:pStyle w:val="Encabezado"/>
    </w:pPr>
    <w:r>
      <w:rPr>
        <w:noProof/>
        <w:lang w:val="es-MX" w:eastAsia="es-MX"/>
      </w:rPr>
      <mc:AlternateContent>
        <mc:Choice Requires="wps">
          <w:drawing>
            <wp:anchor distT="0" distB="0" distL="114300" distR="114300" simplePos="0" relativeHeight="251659264" behindDoc="1" locked="0" layoutInCell="0" allowOverlap="1" wp14:anchorId="3A6C1C46" wp14:editId="60857AF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495AD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6C1C46"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495AD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95AD2"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7BCAAE17" wp14:editId="2985A530">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8D7EE6" w:rsidP="007263BB">
    <w:pPr>
      <w:pStyle w:val="Encabezado"/>
      <w:jc w:val="right"/>
      <w:rPr>
        <w:rFonts w:ascii="Arial" w:hAnsi="Arial" w:cs="Arial"/>
        <w:sz w:val="20"/>
        <w:szCs w:val="20"/>
      </w:rPr>
    </w:pPr>
  </w:p>
  <w:p w:rsidR="00D758BE" w:rsidRDefault="008D7EE6" w:rsidP="007263BB">
    <w:pPr>
      <w:pStyle w:val="Encabezado"/>
      <w:jc w:val="right"/>
      <w:rPr>
        <w:rFonts w:ascii="Arial" w:hAnsi="Arial" w:cs="Arial"/>
        <w:sz w:val="20"/>
        <w:szCs w:val="20"/>
      </w:rPr>
    </w:pPr>
  </w:p>
  <w:p w:rsidR="00706042" w:rsidRPr="00563D0F" w:rsidRDefault="00495AD2" w:rsidP="007263BB">
    <w:pPr>
      <w:pStyle w:val="Encabezado"/>
      <w:jc w:val="right"/>
      <w:rPr>
        <w:rFonts w:ascii="Palatino Linotype" w:hAnsi="Palatino Linotype" w:cs="Arial"/>
        <w:b/>
        <w:sz w:val="20"/>
        <w:szCs w:val="20"/>
      </w:rPr>
    </w:pPr>
    <w:r>
      <w:rPr>
        <w:rFonts w:ascii="Palatino Linotype" w:hAnsi="Palatino Linotype" w:cs="Arial"/>
        <w:b/>
        <w:sz w:val="20"/>
        <w:szCs w:val="20"/>
      </w:rPr>
      <w:t>VOTO DISIDENTE</w:t>
    </w:r>
  </w:p>
  <w:p w:rsidR="00EE5FB0" w:rsidRPr="00563D0F" w:rsidRDefault="00495AD2"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B240BB">
      <w:rPr>
        <w:rFonts w:ascii="Palatino Linotype" w:hAnsi="Palatino Linotype" w:cs="Arial"/>
        <w:b/>
        <w:sz w:val="20"/>
        <w:szCs w:val="20"/>
      </w:rPr>
      <w:t>0107/INFOEM/IP/RR/2019</w:t>
    </w:r>
  </w:p>
  <w:p w:rsidR="00D758BE" w:rsidRDefault="008D7EE6" w:rsidP="007263BB">
    <w:pPr>
      <w:pStyle w:val="Encabezado"/>
      <w:jc w:val="right"/>
      <w:rPr>
        <w:rFonts w:ascii="Palatino Linotype" w:hAnsi="Palatino Linotype" w:cs="Arial"/>
        <w:sz w:val="20"/>
        <w:szCs w:val="20"/>
      </w:rPr>
    </w:pPr>
  </w:p>
  <w:p w:rsidR="00233AB2" w:rsidRDefault="008D7EE6"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D207B"/>
    <w:multiLevelType w:val="hybridMultilevel"/>
    <w:tmpl w:val="83806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EC0DA2"/>
    <w:multiLevelType w:val="hybridMultilevel"/>
    <w:tmpl w:val="769CE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403571"/>
    <w:multiLevelType w:val="hybridMultilevel"/>
    <w:tmpl w:val="B75A6E06"/>
    <w:lvl w:ilvl="0" w:tplc="DDDE38EA">
      <w:start w:val="1"/>
      <w:numFmt w:val="decimal"/>
      <w:lvlText w:val="%1."/>
      <w:lvlJc w:val="left"/>
      <w:pPr>
        <w:ind w:left="346" w:hanging="240"/>
      </w:pPr>
      <w:rPr>
        <w:rFonts w:ascii="Times New Roman" w:eastAsia="Times New Roman" w:hAnsi="Times New Roman" w:hint="default"/>
        <w:color w:val="231F20"/>
        <w:w w:val="100"/>
        <w:sz w:val="22"/>
        <w:szCs w:val="22"/>
      </w:rPr>
    </w:lvl>
    <w:lvl w:ilvl="1" w:tplc="BECAFFF4">
      <w:start w:val="1"/>
      <w:numFmt w:val="decimal"/>
      <w:lvlText w:val="%2)"/>
      <w:lvlJc w:val="left"/>
      <w:pPr>
        <w:ind w:left="586" w:hanging="240"/>
      </w:pPr>
      <w:rPr>
        <w:rFonts w:ascii="Times New Roman" w:eastAsia="Times New Roman" w:hAnsi="Times New Roman" w:hint="default"/>
        <w:color w:val="231F20"/>
        <w:w w:val="100"/>
        <w:sz w:val="22"/>
        <w:szCs w:val="22"/>
      </w:rPr>
    </w:lvl>
    <w:lvl w:ilvl="2" w:tplc="080A0001">
      <w:start w:val="1"/>
      <w:numFmt w:val="bullet"/>
      <w:lvlText w:val=""/>
      <w:lvlJc w:val="left"/>
      <w:pPr>
        <w:ind w:left="584" w:hanging="238"/>
      </w:pPr>
      <w:rPr>
        <w:rFonts w:ascii="Symbol" w:hAnsi="Symbol" w:hint="default"/>
        <w:color w:val="231F20"/>
        <w:w w:val="100"/>
        <w:sz w:val="22"/>
        <w:szCs w:val="22"/>
      </w:rPr>
    </w:lvl>
    <w:lvl w:ilvl="3" w:tplc="A4BC519E">
      <w:start w:val="1"/>
      <w:numFmt w:val="decimal"/>
      <w:lvlText w:val="%4)"/>
      <w:lvlJc w:val="left"/>
      <w:pPr>
        <w:ind w:left="586" w:hanging="240"/>
      </w:pPr>
      <w:rPr>
        <w:rFonts w:ascii="Times New Roman" w:eastAsia="Times New Roman" w:hAnsi="Times New Roman" w:hint="default"/>
        <w:color w:val="231F20"/>
        <w:w w:val="100"/>
        <w:sz w:val="22"/>
        <w:szCs w:val="22"/>
      </w:rPr>
    </w:lvl>
    <w:lvl w:ilvl="4" w:tplc="77128EF2">
      <w:start w:val="1"/>
      <w:numFmt w:val="bullet"/>
      <w:lvlText w:val="—"/>
      <w:lvlJc w:val="left"/>
      <w:pPr>
        <w:ind w:left="906" w:hanging="320"/>
      </w:pPr>
      <w:rPr>
        <w:rFonts w:ascii="Times New Roman" w:eastAsia="Times New Roman" w:hAnsi="Times New Roman" w:hint="default"/>
        <w:color w:val="231F20"/>
        <w:w w:val="100"/>
        <w:sz w:val="22"/>
        <w:szCs w:val="22"/>
      </w:rPr>
    </w:lvl>
    <w:lvl w:ilvl="5" w:tplc="8006CFDE">
      <w:start w:val="1"/>
      <w:numFmt w:val="bullet"/>
      <w:lvlText w:val="•"/>
      <w:lvlJc w:val="left"/>
      <w:pPr>
        <w:ind w:left="3077" w:hanging="320"/>
      </w:pPr>
      <w:rPr>
        <w:rFonts w:hint="default"/>
      </w:rPr>
    </w:lvl>
    <w:lvl w:ilvl="6" w:tplc="02B675DA">
      <w:start w:val="1"/>
      <w:numFmt w:val="bullet"/>
      <w:lvlText w:val="•"/>
      <w:lvlJc w:val="left"/>
      <w:pPr>
        <w:ind w:left="3802" w:hanging="320"/>
      </w:pPr>
      <w:rPr>
        <w:rFonts w:hint="default"/>
      </w:rPr>
    </w:lvl>
    <w:lvl w:ilvl="7" w:tplc="ADA653F8">
      <w:start w:val="1"/>
      <w:numFmt w:val="bullet"/>
      <w:lvlText w:val="•"/>
      <w:lvlJc w:val="left"/>
      <w:pPr>
        <w:ind w:left="4528" w:hanging="320"/>
      </w:pPr>
      <w:rPr>
        <w:rFonts w:hint="default"/>
      </w:rPr>
    </w:lvl>
    <w:lvl w:ilvl="8" w:tplc="CDD03B84">
      <w:start w:val="1"/>
      <w:numFmt w:val="bullet"/>
      <w:lvlText w:val="•"/>
      <w:lvlJc w:val="left"/>
      <w:pPr>
        <w:ind w:left="5254" w:hanging="320"/>
      </w:pPr>
      <w:rPr>
        <w:rFonts w:hint="default"/>
      </w:rPr>
    </w:lvl>
  </w:abstractNum>
  <w:abstractNum w:abstractNumId="3">
    <w:nsid w:val="37341030"/>
    <w:multiLevelType w:val="hybridMultilevel"/>
    <w:tmpl w:val="625857D2"/>
    <w:lvl w:ilvl="0" w:tplc="3A22ACA6">
      <w:start w:val="1"/>
      <w:numFmt w:val="bullet"/>
      <w:lvlText w:val="-"/>
      <w:lvlJc w:val="left"/>
      <w:pPr>
        <w:ind w:left="1571" w:hanging="360"/>
      </w:pPr>
      <w:rPr>
        <w:rFonts w:ascii="Palatino Linotype" w:eastAsiaTheme="minorHAnsi" w:hAnsi="Palatino Linotype" w:cstheme="minorBidi"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5BB15AB9"/>
    <w:multiLevelType w:val="hybridMultilevel"/>
    <w:tmpl w:val="780CE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1E41132"/>
    <w:multiLevelType w:val="hybridMultilevel"/>
    <w:tmpl w:val="B4A6D304"/>
    <w:lvl w:ilvl="0" w:tplc="BF188784">
      <w:start w:val="1"/>
      <w:numFmt w:val="decimal"/>
      <w:lvlText w:val="%1)"/>
      <w:lvlJc w:val="left"/>
      <w:pPr>
        <w:ind w:left="586" w:hanging="240"/>
      </w:pPr>
      <w:rPr>
        <w:rFonts w:ascii="Times New Roman" w:eastAsia="Times New Roman" w:hAnsi="Times New Roman" w:hint="default"/>
        <w:color w:val="231F20"/>
        <w:w w:val="100"/>
        <w:sz w:val="22"/>
        <w:szCs w:val="22"/>
      </w:rPr>
    </w:lvl>
    <w:lvl w:ilvl="1" w:tplc="6E34453A">
      <w:start w:val="1"/>
      <w:numFmt w:val="bullet"/>
      <w:lvlText w:val="•"/>
      <w:lvlJc w:val="left"/>
      <w:pPr>
        <w:ind w:left="1192" w:hanging="240"/>
      </w:pPr>
      <w:rPr>
        <w:rFonts w:hint="default"/>
      </w:rPr>
    </w:lvl>
    <w:lvl w:ilvl="2" w:tplc="29642BA6">
      <w:start w:val="1"/>
      <w:numFmt w:val="bullet"/>
      <w:lvlText w:val="•"/>
      <w:lvlJc w:val="left"/>
      <w:pPr>
        <w:ind w:left="1805" w:hanging="240"/>
      </w:pPr>
      <w:rPr>
        <w:rFonts w:hint="default"/>
      </w:rPr>
    </w:lvl>
    <w:lvl w:ilvl="3" w:tplc="D3202AA2">
      <w:start w:val="1"/>
      <w:numFmt w:val="bullet"/>
      <w:lvlText w:val="•"/>
      <w:lvlJc w:val="left"/>
      <w:pPr>
        <w:ind w:left="2417" w:hanging="240"/>
      </w:pPr>
      <w:rPr>
        <w:rFonts w:hint="default"/>
      </w:rPr>
    </w:lvl>
    <w:lvl w:ilvl="4" w:tplc="F8D00686">
      <w:start w:val="1"/>
      <w:numFmt w:val="bullet"/>
      <w:lvlText w:val="•"/>
      <w:lvlJc w:val="left"/>
      <w:pPr>
        <w:ind w:left="3030" w:hanging="240"/>
      </w:pPr>
      <w:rPr>
        <w:rFonts w:hint="default"/>
      </w:rPr>
    </w:lvl>
    <w:lvl w:ilvl="5" w:tplc="89E0BEFA">
      <w:start w:val="1"/>
      <w:numFmt w:val="bullet"/>
      <w:lvlText w:val="•"/>
      <w:lvlJc w:val="left"/>
      <w:pPr>
        <w:ind w:left="3642" w:hanging="240"/>
      </w:pPr>
      <w:rPr>
        <w:rFonts w:hint="default"/>
      </w:rPr>
    </w:lvl>
    <w:lvl w:ilvl="6" w:tplc="FF8EA878">
      <w:start w:val="1"/>
      <w:numFmt w:val="bullet"/>
      <w:lvlText w:val="•"/>
      <w:lvlJc w:val="left"/>
      <w:pPr>
        <w:ind w:left="4255" w:hanging="240"/>
      </w:pPr>
      <w:rPr>
        <w:rFonts w:hint="default"/>
      </w:rPr>
    </w:lvl>
    <w:lvl w:ilvl="7" w:tplc="B7E8E68E">
      <w:start w:val="1"/>
      <w:numFmt w:val="bullet"/>
      <w:lvlText w:val="•"/>
      <w:lvlJc w:val="left"/>
      <w:pPr>
        <w:ind w:left="4868" w:hanging="240"/>
      </w:pPr>
      <w:rPr>
        <w:rFonts w:hint="default"/>
      </w:rPr>
    </w:lvl>
    <w:lvl w:ilvl="8" w:tplc="8766BED6">
      <w:start w:val="1"/>
      <w:numFmt w:val="bullet"/>
      <w:lvlText w:val="•"/>
      <w:lvlJc w:val="left"/>
      <w:pPr>
        <w:ind w:left="5480" w:hanging="240"/>
      </w:pPr>
      <w:rPr>
        <w:rFont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8D"/>
    <w:rsid w:val="0008770A"/>
    <w:rsid w:val="000C1D18"/>
    <w:rsid w:val="00184EE5"/>
    <w:rsid w:val="001E488D"/>
    <w:rsid w:val="00211A79"/>
    <w:rsid w:val="00246F90"/>
    <w:rsid w:val="0026028D"/>
    <w:rsid w:val="002D0EC6"/>
    <w:rsid w:val="0034426B"/>
    <w:rsid w:val="00360080"/>
    <w:rsid w:val="00360C80"/>
    <w:rsid w:val="0036313F"/>
    <w:rsid w:val="00382E20"/>
    <w:rsid w:val="004149F3"/>
    <w:rsid w:val="00427288"/>
    <w:rsid w:val="00495AD2"/>
    <w:rsid w:val="004D00A3"/>
    <w:rsid w:val="00501F65"/>
    <w:rsid w:val="00544CF2"/>
    <w:rsid w:val="00556783"/>
    <w:rsid w:val="005D6702"/>
    <w:rsid w:val="005F392A"/>
    <w:rsid w:val="00632029"/>
    <w:rsid w:val="0073126B"/>
    <w:rsid w:val="0075269D"/>
    <w:rsid w:val="00780871"/>
    <w:rsid w:val="007E1431"/>
    <w:rsid w:val="008C0E7C"/>
    <w:rsid w:val="008D7EE6"/>
    <w:rsid w:val="009104C4"/>
    <w:rsid w:val="00A60904"/>
    <w:rsid w:val="00B240BB"/>
    <w:rsid w:val="00B75132"/>
    <w:rsid w:val="00BF4344"/>
    <w:rsid w:val="00C13323"/>
    <w:rsid w:val="00C479AF"/>
    <w:rsid w:val="00C80782"/>
    <w:rsid w:val="00CA0915"/>
    <w:rsid w:val="00CC5703"/>
    <w:rsid w:val="00CC601C"/>
    <w:rsid w:val="00CF0D69"/>
    <w:rsid w:val="00D40071"/>
    <w:rsid w:val="00E20A89"/>
    <w:rsid w:val="00E34F71"/>
    <w:rsid w:val="00E5507B"/>
    <w:rsid w:val="00EB26AA"/>
    <w:rsid w:val="00FA7A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B0E95-6DC4-41A6-A5DB-079389D1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88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488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E488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E488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E488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1E488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20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32029"/>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632029"/>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0A89"/>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20A89"/>
    <w:pPr>
      <w:spacing w:after="0" w:line="240" w:lineRule="auto"/>
      <w:ind w:left="708"/>
    </w:pPr>
    <w:rPr>
      <w:rFonts w:ascii="Times New Roman" w:eastAsia="Times New Roman" w:hAnsi="Times New Roman" w:cs="Times New Roman"/>
    </w:rPr>
  </w:style>
  <w:style w:type="character" w:styleId="Hipervnculo">
    <w:name w:val="Hyperlink"/>
    <w:basedOn w:val="Fuentedeprrafopredeter"/>
    <w:uiPriority w:val="99"/>
    <w:unhideWhenUsed/>
    <w:rsid w:val="00E20A89"/>
    <w:rPr>
      <w:color w:val="0000FF"/>
      <w:u w:val="single"/>
    </w:rPr>
  </w:style>
  <w:style w:type="paragraph" w:styleId="Textoindependiente">
    <w:name w:val="Body Text"/>
    <w:basedOn w:val="Normal"/>
    <w:link w:val="TextoindependienteCar"/>
    <w:uiPriority w:val="1"/>
    <w:qFormat/>
    <w:rsid w:val="00E20A89"/>
    <w:pPr>
      <w:widowControl w:val="0"/>
      <w:spacing w:after="0" w:line="240" w:lineRule="auto"/>
      <w:ind w:left="100"/>
    </w:pPr>
    <w:rPr>
      <w:rFonts w:ascii="Times New Roman" w:eastAsia="Times New Roman" w:hAnsi="Times New Roman"/>
      <w:lang w:val="en-US"/>
    </w:rPr>
  </w:style>
  <w:style w:type="character" w:customStyle="1" w:styleId="TextoindependienteCar">
    <w:name w:val="Texto independiente Car"/>
    <w:basedOn w:val="Fuentedeprrafopredeter"/>
    <w:link w:val="Textoindependiente"/>
    <w:uiPriority w:val="1"/>
    <w:rsid w:val="00E20A89"/>
    <w:rPr>
      <w:rFonts w:ascii="Times New Roman" w:eastAsia="Times New Roman" w:hAnsi="Times New Roman"/>
      <w:lang w:val="en-US"/>
    </w:rPr>
  </w:style>
  <w:style w:type="paragraph" w:styleId="Textodeglobo">
    <w:name w:val="Balloon Text"/>
    <w:basedOn w:val="Normal"/>
    <w:link w:val="TextodegloboCar"/>
    <w:uiPriority w:val="99"/>
    <w:semiHidden/>
    <w:unhideWhenUsed/>
    <w:rsid w:val="003600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0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1748</Words>
  <Characters>9617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2019-03-19T16:43:00Z</cp:lastPrinted>
  <dcterms:created xsi:type="dcterms:W3CDTF">2019-04-05T01:33:00Z</dcterms:created>
  <dcterms:modified xsi:type="dcterms:W3CDTF">2019-04-05T01:38:00Z</dcterms:modified>
</cp:coreProperties>
</file>